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315" w:lineRule="atLeast"/>
        <w:jc w:val="center"/>
        <w:rPr>
          <w:rFonts w:hint="eastAsia" w:ascii="黑体" w:hAnsi="宋体" w:eastAsia="黑体"/>
          <w:b/>
          <w:sz w:val="24"/>
        </w:rPr>
      </w:pPr>
      <w:r>
        <w:rPr>
          <w:rFonts w:hint="eastAsia"/>
          <w:b/>
          <w:bCs/>
          <w:color w:val="auto"/>
          <w:sz w:val="36"/>
          <w:szCs w:val="36"/>
          <w:lang w:eastAsia="zh-CN"/>
        </w:rPr>
        <w:t>黄山学院毕业氛围营造采购项目报价</w:t>
      </w:r>
      <w:r>
        <w:rPr>
          <w:rFonts w:hint="eastAsia"/>
          <w:b/>
          <w:bCs/>
          <w:color w:val="auto"/>
          <w:sz w:val="36"/>
          <w:szCs w:val="36"/>
        </w:rPr>
        <w:t>单</w:t>
      </w:r>
    </w:p>
    <w:p>
      <w:pPr>
        <w:widowControl/>
        <w:spacing w:line="480" w:lineRule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采购需求及技术要求</w:t>
      </w:r>
    </w:p>
    <w:tbl>
      <w:tblPr>
        <w:tblStyle w:val="8"/>
        <w:tblW w:w="93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5036"/>
        <w:gridCol w:w="639"/>
        <w:gridCol w:w="698"/>
        <w:gridCol w:w="712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Cs w:val="21"/>
                <w:lang w:eastAsia="zh-CN"/>
              </w:rPr>
              <w:t>名称</w:t>
            </w:r>
          </w:p>
        </w:tc>
        <w:tc>
          <w:tcPr>
            <w:tcW w:w="5036" w:type="dxa"/>
            <w:vAlign w:val="center"/>
          </w:tcPr>
          <w:p>
            <w:pPr>
              <w:spacing w:line="480" w:lineRule="auto"/>
              <w:ind w:firstLine="105" w:firstLineChars="50"/>
              <w:rPr>
                <w:rFonts w:ascii="宋体" w:hAnsi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Cs w:val="21"/>
                <w:lang w:eastAsia="zh-CN"/>
              </w:rPr>
              <w:t>技术要求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数量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单位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单价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（元）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9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总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  <w:lang w:eastAsia="zh-CN"/>
              </w:rPr>
              <w:t>价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84" w:type="dxa"/>
            <w:vAlign w:val="top"/>
          </w:tcPr>
          <w:p>
            <w:pPr>
              <w:pStyle w:val="2"/>
              <w:adjustRightInd w:val="0"/>
              <w:snapToGrid w:val="0"/>
              <w:spacing w:after="0" w:line="240" w:lineRule="auto"/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氛围字立体宣传背景</w:t>
            </w:r>
          </w:p>
        </w:tc>
        <w:tc>
          <w:tcPr>
            <w:tcW w:w="5036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.4m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(含基座）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造型厚度不低于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0cm。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材质：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基座和氛围字均为不锈钢，烤漆字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工艺：焊接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/>
                <w:b w:val="0"/>
                <w:bCs w:val="0"/>
                <w:i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Cs/>
                <w:color w:val="000000"/>
                <w:sz w:val="21"/>
                <w:szCs w:val="21"/>
                <w:lang w:eastAsia="zh-CN"/>
              </w:rPr>
              <w:t>投标人投标时须提供</w:t>
            </w:r>
            <w:r>
              <w:rPr>
                <w:rFonts w:hint="eastAsia"/>
                <w:b w:val="0"/>
                <w:bCs w:val="0"/>
                <w:iCs/>
                <w:color w:val="00000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iCs/>
                <w:color w:val="000000"/>
                <w:sz w:val="21"/>
                <w:szCs w:val="21"/>
                <w:lang w:val="en-US" w:eastAsia="zh-CN"/>
              </w:rPr>
              <w:t>张效果图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/>
                <w:b w:val="0"/>
                <w:bCs w:val="0"/>
                <w:i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Cs/>
                <w:color w:val="000000"/>
                <w:sz w:val="21"/>
                <w:szCs w:val="21"/>
                <w:lang w:val="en-US" w:eastAsia="zh-CN"/>
              </w:rPr>
              <w:t>样式参考如下：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/>
                <w:b w:val="0"/>
                <w:bCs w:val="0"/>
                <w:i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Cs/>
                <w:color w:val="0000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961005" cy="1539875"/>
                  <wp:effectExtent l="0" t="0" r="10795" b="3175"/>
                  <wp:docPr id="1" name="图片 1" descr="立体氛围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立体氛围字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8354" r="20310" b="404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005" cy="153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/>
                <w:b w:val="0"/>
                <w:bCs w:val="0"/>
                <w:i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Cs/>
                <w:color w:val="0000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993390" cy="1755775"/>
                  <wp:effectExtent l="0" t="0" r="16510" b="15875"/>
                  <wp:docPr id="2" name="图片 2" descr="字体氛围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字体氛围字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8020" r="-255" b="225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390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3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84" w:type="dxa"/>
            <w:vAlign w:val="top"/>
          </w:tcPr>
          <w:p>
            <w:pPr>
              <w:pStyle w:val="2"/>
              <w:adjustRightInd w:val="0"/>
              <w:snapToGrid w:val="0"/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桁架背景</w:t>
            </w:r>
          </w:p>
        </w:tc>
        <w:tc>
          <w:tcPr>
            <w:tcW w:w="5036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规格：高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4m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桁架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高精喷绘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/>
                <w:b w:val="0"/>
                <w:bCs w:val="0"/>
                <w:i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Cs/>
                <w:color w:val="000000"/>
                <w:sz w:val="21"/>
                <w:szCs w:val="21"/>
                <w:lang w:eastAsia="zh-CN"/>
              </w:rPr>
              <w:t>投标人投标时须提供</w:t>
            </w:r>
            <w:r>
              <w:rPr>
                <w:rFonts w:hint="eastAsia"/>
                <w:b w:val="0"/>
                <w:bCs w:val="0"/>
                <w:iCs/>
                <w:color w:val="000000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iCs/>
                <w:color w:val="000000"/>
                <w:sz w:val="21"/>
                <w:szCs w:val="21"/>
                <w:lang w:val="en-US" w:eastAsia="zh-CN"/>
              </w:rPr>
              <w:t>张效果图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/>
                <w:b w:val="0"/>
                <w:bCs w:val="0"/>
                <w:i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Cs/>
                <w:color w:val="000000"/>
                <w:sz w:val="21"/>
                <w:szCs w:val="21"/>
                <w:lang w:val="en-US" w:eastAsia="zh-CN"/>
              </w:rPr>
              <w:t>样式参考如下：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/>
                <w:b w:val="0"/>
                <w:bCs w:val="0"/>
                <w:i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Cs/>
                <w:color w:val="0000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3055620" cy="1863725"/>
                  <wp:effectExtent l="0" t="0" r="11430" b="3175"/>
                  <wp:docPr id="3" name="图片 3" descr="桁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桁架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620" cy="186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1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vAlign w:val="top"/>
          </w:tcPr>
          <w:p>
            <w:pPr>
              <w:pStyle w:val="2"/>
              <w:adjustRightInd w:val="0"/>
              <w:snapToGrid w:val="0"/>
              <w:spacing w:after="0" w:line="240" w:lineRule="auto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7854" w:type="dxa"/>
            <w:gridSpan w:val="5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after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注：1、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报价中包含材料费、运输费、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eastAsia="zh-CN"/>
        </w:rPr>
        <w:t>人工费、安装费等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一切费用。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2、评审细则：按照有效最低价评标法。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本项目先进行设计效果图的审核，审核通过的单位才进入后续的价格评审环节。（效果图中不得有体现投标人信息的内容。）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由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评审</w:t>
      </w:r>
      <w:r>
        <w:rPr>
          <w:rFonts w:hint="eastAsia" w:ascii="宋体" w:hAnsi="宋体"/>
          <w:b/>
          <w:bCs/>
          <w:sz w:val="21"/>
          <w:szCs w:val="21"/>
        </w:rPr>
        <w:t>小组从满足询价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单</w:t>
      </w:r>
      <w:r>
        <w:rPr>
          <w:rFonts w:hint="eastAsia" w:ascii="宋体" w:hAnsi="宋体"/>
          <w:b/>
          <w:bCs/>
          <w:sz w:val="21"/>
          <w:szCs w:val="21"/>
        </w:rPr>
        <w:t>要求的供应商中以报价最低者推荐为成交供应商。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该供应商的报价即为成交的合同价。如果有两个或两个以上供应商报价相同，由采购人确定中标人。</w:t>
      </w:r>
    </w:p>
    <w:p>
      <w:pPr>
        <w:pStyle w:val="6"/>
        <w:spacing w:line="360" w:lineRule="auto"/>
        <w:ind w:firstLine="422" w:firstLineChars="200"/>
        <w:rPr>
          <w:rFonts w:hint="eastAsia" w:ascii="宋体" w:hAnsi="宋体" w:eastAsia="宋体" w:cs="Times New Roman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1"/>
          <w:szCs w:val="21"/>
          <w:lang w:val="en-US" w:eastAsia="zh-CN" w:bidi="ar-SA"/>
        </w:rPr>
        <w:t>3、严格执行国家相关规范标准。中标方对供货、施工、服务过程及交付使用后正常运行中的人身、财产安全负全部责任</w:t>
      </w:r>
      <w:r>
        <w:rPr>
          <w:rFonts w:hint="eastAsia" w:cs="Times New Roman"/>
          <w:b/>
          <w:bCs/>
          <w:kern w:val="2"/>
          <w:sz w:val="21"/>
          <w:szCs w:val="21"/>
          <w:lang w:val="en-US" w:eastAsia="zh-CN" w:bidi="ar-SA"/>
        </w:rPr>
        <w:t>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/>
          <w:sz w:val="24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/>
        </w:rPr>
        <w:t>4、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采用货到验收合格后通过银行对公转账付款，发票由中标方按国家有关财税规定开给采购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eastAsia="zh-CN"/>
        </w:rPr>
        <w:t>人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。</w:t>
      </w:r>
    </w:p>
    <w:p>
      <w:pPr>
        <w:widowControl/>
        <w:adjustRightInd w:val="0"/>
        <w:snapToGrid w:val="0"/>
        <w:spacing w:line="360" w:lineRule="auto"/>
        <w:ind w:right="380"/>
        <w:rPr>
          <w:rFonts w:hint="eastAsia"/>
          <w:sz w:val="24"/>
        </w:rPr>
      </w:pPr>
    </w:p>
    <w:p>
      <w:pPr>
        <w:widowControl/>
        <w:adjustRightInd w:val="0"/>
        <w:snapToGrid w:val="0"/>
        <w:spacing w:line="360" w:lineRule="auto"/>
        <w:ind w:right="380"/>
        <w:rPr>
          <w:rFonts w:ascii="宋体" w:hAnsi="宋体" w:cs="宋体"/>
          <w:kern w:val="0"/>
          <w:sz w:val="19"/>
          <w:szCs w:val="21"/>
        </w:rPr>
      </w:pPr>
      <w:r>
        <w:rPr>
          <w:rFonts w:hint="eastAsia"/>
          <w:sz w:val="24"/>
        </w:rPr>
        <w:t>本单位已悉知以上内容，并承诺严格按照上述各项要求进行投标。</w:t>
      </w:r>
    </w:p>
    <w:p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报价单位（盖章）；</w:t>
      </w:r>
    </w:p>
    <w:p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负责人（签字）：                     联系电话：                   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日期：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E2D"/>
    <w:rsid w:val="000218B8"/>
    <w:rsid w:val="00075CE9"/>
    <w:rsid w:val="000873B4"/>
    <w:rsid w:val="000D17E0"/>
    <w:rsid w:val="00102878"/>
    <w:rsid w:val="00127CC6"/>
    <w:rsid w:val="001345CA"/>
    <w:rsid w:val="00136D0D"/>
    <w:rsid w:val="002D6D45"/>
    <w:rsid w:val="002F693F"/>
    <w:rsid w:val="00331030"/>
    <w:rsid w:val="00355FA7"/>
    <w:rsid w:val="003947B2"/>
    <w:rsid w:val="003C57E3"/>
    <w:rsid w:val="004115DC"/>
    <w:rsid w:val="00455FE8"/>
    <w:rsid w:val="004D22A6"/>
    <w:rsid w:val="004E35CA"/>
    <w:rsid w:val="00506E5D"/>
    <w:rsid w:val="005108A1"/>
    <w:rsid w:val="0051257A"/>
    <w:rsid w:val="0052310E"/>
    <w:rsid w:val="00526E77"/>
    <w:rsid w:val="00561DCF"/>
    <w:rsid w:val="00562BB1"/>
    <w:rsid w:val="005C6675"/>
    <w:rsid w:val="00651E79"/>
    <w:rsid w:val="00682492"/>
    <w:rsid w:val="00686E2D"/>
    <w:rsid w:val="006B2F48"/>
    <w:rsid w:val="007361C9"/>
    <w:rsid w:val="00782208"/>
    <w:rsid w:val="00802CEE"/>
    <w:rsid w:val="008730E7"/>
    <w:rsid w:val="008A2739"/>
    <w:rsid w:val="008C4FC6"/>
    <w:rsid w:val="00944938"/>
    <w:rsid w:val="00981B19"/>
    <w:rsid w:val="009A592D"/>
    <w:rsid w:val="009D263B"/>
    <w:rsid w:val="00A31C0A"/>
    <w:rsid w:val="00A35E4E"/>
    <w:rsid w:val="00B3417C"/>
    <w:rsid w:val="00B5512B"/>
    <w:rsid w:val="00B67EC1"/>
    <w:rsid w:val="00BA6947"/>
    <w:rsid w:val="00C02163"/>
    <w:rsid w:val="00C6201F"/>
    <w:rsid w:val="00C83A9C"/>
    <w:rsid w:val="00CA2B3F"/>
    <w:rsid w:val="00D97460"/>
    <w:rsid w:val="00DE4279"/>
    <w:rsid w:val="00DF1F95"/>
    <w:rsid w:val="00E169D8"/>
    <w:rsid w:val="00E1795C"/>
    <w:rsid w:val="00E36BB4"/>
    <w:rsid w:val="00E46131"/>
    <w:rsid w:val="00E5099F"/>
    <w:rsid w:val="00F11BD3"/>
    <w:rsid w:val="00F2583F"/>
    <w:rsid w:val="00F36513"/>
    <w:rsid w:val="00F44CE4"/>
    <w:rsid w:val="00F7087F"/>
    <w:rsid w:val="00FD4FA3"/>
    <w:rsid w:val="00FF3435"/>
    <w:rsid w:val="03B65718"/>
    <w:rsid w:val="07500846"/>
    <w:rsid w:val="07DD2CA9"/>
    <w:rsid w:val="0AC33B6F"/>
    <w:rsid w:val="0CE77B1C"/>
    <w:rsid w:val="0D7D1AF1"/>
    <w:rsid w:val="0F325F44"/>
    <w:rsid w:val="0F6B31DC"/>
    <w:rsid w:val="13993A64"/>
    <w:rsid w:val="177E12EA"/>
    <w:rsid w:val="19CB4126"/>
    <w:rsid w:val="1BFE46A9"/>
    <w:rsid w:val="236B490D"/>
    <w:rsid w:val="24ED4908"/>
    <w:rsid w:val="270133E4"/>
    <w:rsid w:val="2E4A7BAD"/>
    <w:rsid w:val="2F1E536C"/>
    <w:rsid w:val="2FCC5420"/>
    <w:rsid w:val="34431B2C"/>
    <w:rsid w:val="3C550C0D"/>
    <w:rsid w:val="3D130490"/>
    <w:rsid w:val="45211B60"/>
    <w:rsid w:val="4EA61FAA"/>
    <w:rsid w:val="513E7204"/>
    <w:rsid w:val="5A5E1EFE"/>
    <w:rsid w:val="5B47514B"/>
    <w:rsid w:val="600C5341"/>
    <w:rsid w:val="65B11BD5"/>
    <w:rsid w:val="69EC1B3A"/>
    <w:rsid w:val="70770485"/>
    <w:rsid w:val="70AF4986"/>
    <w:rsid w:val="72095733"/>
    <w:rsid w:val="752D28CF"/>
    <w:rsid w:val="77FD7B46"/>
    <w:rsid w:val="79331079"/>
    <w:rsid w:val="79706B65"/>
    <w:rsid w:val="798D59FE"/>
    <w:rsid w:val="7DCF229F"/>
    <w:rsid w:val="7E14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jc w:val="left"/>
    </w:pPr>
    <w:rPr>
      <w:rFonts w:ascii="宋体" w:hAnsi="宋体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semiHidden/>
    <w:unhideWhenUsed/>
    <w:qFormat/>
    <w:uiPriority w:val="99"/>
    <w:rPr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Table Paragraph"/>
    <w:basedOn w:val="1"/>
    <w:qFormat/>
    <w:uiPriority w:val="1"/>
  </w:style>
  <w:style w:type="table" w:customStyle="1" w:styleId="1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21058A-DCFA-43B9-B9A6-6E71B642FB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85</Words>
  <Characters>487</Characters>
  <Lines>4</Lines>
  <Paragraphs>1</Paragraphs>
  <TotalTime>13</TotalTime>
  <ScaleCrop>false</ScaleCrop>
  <LinksUpToDate>false</LinksUpToDate>
  <CharactersWithSpaces>571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2017-12-01T03:17:00Z</dcterms:created>
  <dc:creator>杜奎宝</dc:creator>
  <cp:lastModifiedBy>Administrator</cp:lastModifiedBy>
  <cp:lastPrinted>2018-09-18T06:46:00Z</cp:lastPrinted>
  <dcterms:modified xsi:type="dcterms:W3CDTF">2019-05-14T02:22:31Z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