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b/>
          <w:bCs/>
          <w:color w:val="auto"/>
          <w:kern w:val="0"/>
          <w:sz w:val="28"/>
          <w:szCs w:val="28"/>
        </w:rPr>
        <w:t>黄山学院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eastAsia="zh-CN"/>
        </w:rPr>
        <w:t>PP通风药品柜（双开门）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采购询价单</w:t>
      </w:r>
      <w:bookmarkStart w:id="0" w:name="_GoBack"/>
      <w:bookmarkEnd w:id="0"/>
    </w:p>
    <w:p>
      <w:pPr>
        <w:widowControl/>
        <w:spacing w:line="240" w:lineRule="auto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 w:val="24"/>
        </w:rPr>
        <w:t>各经营单位：</w:t>
      </w:r>
    </w:p>
    <w:p>
      <w:pPr>
        <w:widowControl/>
        <w:spacing w:after="156" w:afterLines="50" w:line="240" w:lineRule="auto"/>
        <w:ind w:firstLine="480"/>
        <w:jc w:val="left"/>
        <w:rPr>
          <w:rFonts w:hint="eastAsia" w:ascii="Arial Black" w:hAnsi="Arial Black"/>
          <w:color w:val="auto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我</w:t>
      </w:r>
      <w:r>
        <w:rPr>
          <w:rFonts w:ascii="宋体" w:hAnsi="宋体" w:cs="宋体"/>
          <w:color w:val="auto"/>
          <w:kern w:val="0"/>
          <w:sz w:val="24"/>
        </w:rPr>
        <w:t>校</w:t>
      </w:r>
      <w:r>
        <w:rPr>
          <w:rFonts w:hint="eastAsia" w:ascii="宋体" w:hAnsi="宋体" w:cs="宋体"/>
          <w:color w:val="auto"/>
          <w:kern w:val="0"/>
          <w:sz w:val="24"/>
        </w:rPr>
        <w:t>拟采购一批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PP通风药品柜（双开门），</w:t>
      </w:r>
      <w:r>
        <w:rPr>
          <w:rFonts w:hint="eastAsia" w:ascii="宋体" w:hAnsi="宋体" w:cs="宋体"/>
          <w:color w:val="auto"/>
          <w:kern w:val="0"/>
          <w:sz w:val="24"/>
        </w:rPr>
        <w:t>请在下表中填报出提供该项服务的最低价格。</w:t>
      </w:r>
    </w:p>
    <w:tbl>
      <w:tblPr>
        <w:tblStyle w:val="7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173"/>
        <w:gridCol w:w="1164"/>
        <w:gridCol w:w="893"/>
        <w:gridCol w:w="1198"/>
        <w:gridCol w:w="871"/>
        <w:gridCol w:w="285"/>
        <w:gridCol w:w="1127"/>
        <w:gridCol w:w="1"/>
        <w:gridCol w:w="1126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31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36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36"/>
                <w:lang w:eastAsia="zh-CN"/>
              </w:rPr>
            </w:pPr>
            <w:r>
              <w:rPr>
                <w:color w:val="auto"/>
                <w:sz w:val="20"/>
                <w:szCs w:val="20"/>
              </w:rPr>
              <w:t>品名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36"/>
                <w:lang w:eastAsia="zh-CN"/>
              </w:rPr>
            </w:pPr>
            <w:r>
              <w:rPr>
                <w:color w:val="auto"/>
                <w:sz w:val="20"/>
                <w:szCs w:val="20"/>
              </w:rPr>
              <w:t>型号</w:t>
            </w:r>
            <w:r>
              <w:rPr>
                <w:rFonts w:hint="eastAsia"/>
                <w:color w:val="auto"/>
                <w:sz w:val="20"/>
                <w:szCs w:val="20"/>
              </w:rPr>
              <w:t>/要求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36"/>
                <w:lang w:eastAsia="zh-CN"/>
              </w:rPr>
            </w:pPr>
            <w:r>
              <w:rPr>
                <w:color w:val="auto"/>
                <w:sz w:val="20"/>
                <w:szCs w:val="20"/>
              </w:rPr>
              <w:t>数量</w:t>
            </w: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36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36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单价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（元）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36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总价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（元）</w:t>
            </w: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31" w:hRule="atLeast"/>
          <w:jc w:val="center"/>
        </w:trPr>
        <w:tc>
          <w:tcPr>
            <w:tcW w:w="681" w:type="dxa"/>
          </w:tcPr>
          <w:p>
            <w:pPr>
              <w:jc w:val="both"/>
              <w:rPr>
                <w:rFonts w:hint="eastAsia"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1173" w:type="dxa"/>
          </w:tcPr>
          <w:p>
            <w:pPr>
              <w:jc w:val="both"/>
              <w:rPr>
                <w:rFonts w:hint="eastAsia"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lang w:val="en-US" w:eastAsia="zh-CN"/>
              </w:rPr>
              <w:t>PP药品柜</w:t>
            </w:r>
          </w:p>
        </w:tc>
        <w:tc>
          <w:tcPr>
            <w:tcW w:w="1164" w:type="dxa"/>
          </w:tcPr>
          <w:p>
            <w:pPr>
              <w:jc w:val="both"/>
              <w:rPr>
                <w:rFonts w:hint="eastAsia"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lang w:val="en-US" w:eastAsia="zh-CN"/>
              </w:rPr>
              <w:t>详见说明</w:t>
            </w:r>
          </w:p>
        </w:tc>
        <w:tc>
          <w:tcPr>
            <w:tcW w:w="893" w:type="dxa"/>
          </w:tcPr>
          <w:p>
            <w:pPr>
              <w:jc w:val="both"/>
              <w:rPr>
                <w:rFonts w:hint="eastAsia"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lang w:val="en-US" w:eastAsia="zh-CN"/>
              </w:rPr>
              <w:t>6</w:t>
            </w:r>
          </w:p>
        </w:tc>
        <w:tc>
          <w:tcPr>
            <w:tcW w:w="1198" w:type="dxa"/>
          </w:tcPr>
          <w:p>
            <w:pPr>
              <w:jc w:val="both"/>
              <w:rPr>
                <w:rFonts w:hint="eastAsia"/>
                <w:color w:val="auto"/>
                <w:sz w:val="28"/>
                <w:szCs w:val="36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lang w:eastAsia="zh-CN"/>
              </w:rPr>
              <w:t>个</w:t>
            </w:r>
          </w:p>
        </w:tc>
        <w:tc>
          <w:tcPr>
            <w:tcW w:w="1156" w:type="dxa"/>
            <w:gridSpan w:val="2"/>
          </w:tcPr>
          <w:p>
            <w:pPr>
              <w:jc w:val="both"/>
              <w:rPr>
                <w:rFonts w:hint="eastAsia"/>
                <w:color w:val="auto"/>
                <w:sz w:val="28"/>
                <w:szCs w:val="36"/>
                <w:lang w:eastAsia="zh-CN"/>
              </w:rPr>
            </w:pPr>
          </w:p>
        </w:tc>
        <w:tc>
          <w:tcPr>
            <w:tcW w:w="1127" w:type="dxa"/>
          </w:tcPr>
          <w:p>
            <w:pPr>
              <w:jc w:val="both"/>
              <w:rPr>
                <w:rFonts w:hint="eastAsia"/>
                <w:color w:val="auto"/>
                <w:sz w:val="28"/>
                <w:szCs w:val="36"/>
                <w:lang w:eastAsia="zh-CN"/>
              </w:rPr>
            </w:pPr>
          </w:p>
        </w:tc>
        <w:tc>
          <w:tcPr>
            <w:tcW w:w="1127" w:type="dxa"/>
            <w:gridSpan w:val="2"/>
          </w:tcPr>
          <w:p>
            <w:pPr>
              <w:jc w:val="both"/>
              <w:rPr>
                <w:rFonts w:hint="eastAsia"/>
                <w:color w:val="auto"/>
                <w:sz w:val="28"/>
                <w:szCs w:val="3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31" w:hRule="atLeast"/>
          <w:jc w:val="center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838" w:type="dxa"/>
            <w:gridSpan w:val="9"/>
            <w:vAlign w:val="center"/>
          </w:tcPr>
          <w:p>
            <w:pPr>
              <w:jc w:val="both"/>
              <w:rPr>
                <w:rFonts w:hint="eastAsia"/>
                <w:color w:val="auto"/>
                <w:sz w:val="28"/>
                <w:szCs w:val="36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lang w:eastAsia="zh-CN"/>
              </w:rPr>
              <w:t>合计金额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31" w:hRule="atLeast"/>
          <w:jc w:val="center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838" w:type="dxa"/>
            <w:gridSpan w:val="9"/>
            <w:vAlign w:val="center"/>
          </w:tcPr>
          <w:p>
            <w:pPr>
              <w:jc w:val="both"/>
              <w:rPr>
                <w:rFonts w:hint="eastAsia"/>
                <w:color w:val="auto"/>
                <w:sz w:val="28"/>
                <w:szCs w:val="36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lang w:eastAsia="zh-CN"/>
              </w:rPr>
              <w:t>总报价大写人民币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31" w:hRule="atLeast"/>
          <w:jc w:val="center"/>
        </w:trPr>
        <w:tc>
          <w:tcPr>
            <w:tcW w:w="8519" w:type="dxa"/>
            <w:gridSpan w:val="10"/>
            <w:vAlign w:val="center"/>
          </w:tcPr>
          <w:p>
            <w:pPr>
              <w:jc w:val="both"/>
              <w:rPr>
                <w:rFonts w:hint="eastAsia"/>
                <w:color w:val="auto"/>
                <w:sz w:val="28"/>
                <w:szCs w:val="36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lang w:eastAsia="zh-CN"/>
              </w:rPr>
              <w:t>报价单位（盖章）：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31" w:hRule="atLeast"/>
          <w:jc w:val="center"/>
        </w:trPr>
        <w:tc>
          <w:tcPr>
            <w:tcW w:w="8519" w:type="dxa"/>
            <w:gridSpan w:val="10"/>
            <w:vAlign w:val="center"/>
          </w:tcPr>
          <w:p>
            <w:pPr>
              <w:jc w:val="both"/>
              <w:rPr>
                <w:rFonts w:hint="eastAsia"/>
                <w:color w:val="auto"/>
                <w:sz w:val="28"/>
                <w:szCs w:val="36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lang w:eastAsia="zh-CN"/>
              </w:rPr>
              <w:t>负责人（签字）：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5980" w:type="dxa"/>
            <w:gridSpan w:val="6"/>
            <w:vAlign w:val="center"/>
          </w:tcPr>
          <w:p>
            <w:pPr>
              <w:rPr>
                <w:color w:val="auto"/>
                <w:sz w:val="28"/>
                <w:szCs w:val="36"/>
              </w:rPr>
            </w:pPr>
            <w:r>
              <w:rPr>
                <w:rFonts w:hint="eastAsia"/>
                <w:color w:val="auto"/>
                <w:sz w:val="28"/>
                <w:szCs w:val="36"/>
                <w:lang w:eastAsia="zh-CN"/>
              </w:rPr>
              <w:t>联系电话：</w:t>
            </w:r>
          </w:p>
        </w:tc>
        <w:tc>
          <w:tcPr>
            <w:tcW w:w="1413" w:type="dxa"/>
            <w:gridSpan w:val="3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lang w:eastAsia="zh-CN"/>
              </w:rPr>
              <w:t>日期：</w:t>
            </w:r>
          </w:p>
        </w:tc>
        <w:tc>
          <w:tcPr>
            <w:tcW w:w="1127" w:type="dxa"/>
            <w:gridSpan w:val="2"/>
          </w:tcPr>
          <w:p>
            <w:pPr>
              <w:jc w:val="center"/>
              <w:rPr>
                <w:rFonts w:hint="eastAsia"/>
                <w:color w:val="auto"/>
                <w:sz w:val="28"/>
                <w:szCs w:val="36"/>
                <w:lang w:eastAsia="zh-CN"/>
              </w:rPr>
            </w:pPr>
          </w:p>
        </w:tc>
      </w:tr>
    </w:tbl>
    <w:p>
      <w:pPr>
        <w:jc w:val="center"/>
        <w:rPr>
          <w:rFonts w:ascii="宋体" w:hAnsi="宋体" w:cs="宋体"/>
          <w:b/>
          <w:bCs/>
          <w:color w:val="auto"/>
          <w:sz w:val="40"/>
          <w:szCs w:val="40"/>
        </w:rPr>
      </w:pP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hint="eastAsia"/>
          <w:color w:val="auto"/>
        </w:rPr>
      </w:pPr>
      <w:r>
        <w:rPr>
          <w:rFonts w:hint="eastAsia"/>
          <w:color w:val="auto"/>
        </w:rPr>
        <w:t>1、</w:t>
      </w:r>
      <w:r>
        <w:rPr>
          <w:rFonts w:hint="eastAsia"/>
          <w:color w:val="auto"/>
        </w:rPr>
        <w:t>请根据报价单要求的品目及规格，填写上各品目的单价、总价及生产厂家，如与要求规格不一致或原未标注，请报价时另注明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报价中含货物的供应价、运输保险费、售后服务费等全部费用；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hint="eastAsia"/>
          <w:color w:val="auto"/>
        </w:rPr>
      </w:pPr>
      <w:r>
        <w:rPr>
          <w:rFonts w:hint="eastAsia"/>
          <w:color w:val="auto"/>
        </w:rPr>
        <w:t>2、参加投标报价的厂商须具备相应专业经营资质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所有产品必须均为正规厂家生产的产品（用“国标”产品）；由供货方按国家有关财税规定开据发票，货到验收合格后，一般一个月内转账支付（对公账户）；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hint="eastAsia"/>
          <w:color w:val="auto"/>
        </w:rPr>
      </w:pPr>
      <w:r>
        <w:rPr>
          <w:rFonts w:hint="eastAsia"/>
          <w:color w:val="auto"/>
        </w:rPr>
        <w:t>3、</w:t>
      </w:r>
      <w:r>
        <w:rPr>
          <w:rFonts w:hint="eastAsia"/>
          <w:color w:val="auto"/>
          <w:szCs w:val="22"/>
        </w:rPr>
        <w:t>本项目履约保证金为中标金额的</w:t>
      </w:r>
      <w:r>
        <w:rPr>
          <w:rFonts w:hint="eastAsia"/>
          <w:color w:val="auto"/>
          <w:szCs w:val="22"/>
          <w:lang w:val="en-US" w:eastAsia="zh-CN"/>
        </w:rPr>
        <w:t>8</w:t>
      </w:r>
      <w:r>
        <w:rPr>
          <w:rFonts w:hint="eastAsia"/>
          <w:color w:val="auto"/>
          <w:szCs w:val="22"/>
          <w:lang w:val="en-US"/>
        </w:rPr>
        <w:t>%</w:t>
      </w:r>
      <w:r>
        <w:rPr>
          <w:rFonts w:hint="eastAsia"/>
          <w:color w:val="auto"/>
          <w:szCs w:val="22"/>
        </w:rPr>
        <w:t>，中标单位需在签订合同前将履约保证金交至黄山学院账户（开户名：黄山学院；开户银行：黄山市农行黎阳分理处；账号：</w:t>
      </w:r>
      <w:r>
        <w:rPr>
          <w:rFonts w:hint="eastAsia"/>
          <w:color w:val="auto"/>
          <w:szCs w:val="22"/>
          <w:lang w:val="en-US"/>
        </w:rPr>
        <w:t>660501040001818</w:t>
      </w:r>
      <w:r>
        <w:rPr>
          <w:rFonts w:hint="eastAsia"/>
          <w:color w:val="auto"/>
          <w:szCs w:val="22"/>
        </w:rPr>
        <w:t>），并将汇款凭证扫描或截图后发至报名邮箱，待质保期满且通过最终验收后退还。</w:t>
      </w:r>
    </w:p>
    <w:p>
      <w:pPr>
        <w:jc w:val="both"/>
        <w:rPr>
          <w:rFonts w:ascii="宋体" w:hAnsi="宋体" w:cs="宋体"/>
          <w:b/>
          <w:bCs/>
          <w:color w:val="auto"/>
          <w:sz w:val="40"/>
          <w:szCs w:val="40"/>
        </w:rPr>
      </w:pPr>
    </w:p>
    <w:p>
      <w:pPr>
        <w:jc w:val="center"/>
        <w:rPr>
          <w:rFonts w:hint="eastAsia" w:ascii="宋体" w:hAnsi="宋体" w:cs="宋体"/>
          <w:b/>
          <w:bCs/>
          <w:color w:val="auto"/>
          <w:sz w:val="40"/>
          <w:szCs w:val="40"/>
        </w:rPr>
      </w:pPr>
      <w:r>
        <w:rPr>
          <w:rFonts w:ascii="宋体" w:hAnsi="宋体" w:cs="宋体"/>
          <w:b/>
          <w:bCs/>
          <w:color w:val="auto"/>
          <w:sz w:val="40"/>
          <w:szCs w:val="40"/>
        </w:rPr>
        <w:br w:type="page"/>
      </w:r>
      <w:r>
        <w:rPr>
          <w:rFonts w:ascii="宋体" w:hAnsi="宋体" w:cs="宋体"/>
          <w:b/>
          <w:bCs/>
          <w:color w:val="auto"/>
          <w:sz w:val="40"/>
          <w:szCs w:val="40"/>
        </w:rPr>
        <w:t>PP</w:t>
      </w:r>
      <w:r>
        <w:rPr>
          <w:rFonts w:hint="eastAsia" w:ascii="宋体" w:hAnsi="宋体" w:cs="宋体"/>
          <w:b/>
          <w:bCs/>
          <w:color w:val="auto"/>
          <w:sz w:val="36"/>
          <w:szCs w:val="36"/>
        </w:rPr>
        <w:t>通风药品</w:t>
      </w:r>
      <w:r>
        <w:rPr>
          <w:rFonts w:hint="eastAsia" w:ascii="宋体" w:hAnsi="宋体" w:cs="宋体"/>
          <w:b/>
          <w:bCs/>
          <w:color w:val="auto"/>
          <w:sz w:val="40"/>
          <w:szCs w:val="40"/>
        </w:rPr>
        <w:t>柜（双开门）</w:t>
      </w:r>
      <w:r>
        <w:rPr>
          <w:rFonts w:ascii="宋体" w:hAnsi="宋体" w:cs="宋体"/>
          <w:b/>
          <w:bCs/>
          <w:color w:val="auto"/>
          <w:sz w:val="40"/>
          <w:szCs w:val="40"/>
        </w:rPr>
        <w:t xml:space="preserve">    </w:t>
      </w:r>
      <w:r>
        <w:rPr>
          <w:rFonts w:hint="eastAsia" w:ascii="宋体" w:hAnsi="宋体" w:cs="宋体"/>
          <w:b/>
          <w:bCs/>
          <w:color w:val="auto"/>
          <w:sz w:val="40"/>
          <w:szCs w:val="40"/>
        </w:rPr>
        <w:t>材质说明</w:t>
      </w:r>
    </w:p>
    <w:p>
      <w:pPr>
        <w:jc w:val="center"/>
        <w:rPr>
          <w:rFonts w:ascii="宋体" w:cs="Times New Roman"/>
          <w:color w:val="auto"/>
        </w:rPr>
      </w:pPr>
    </w:p>
    <w:tbl>
      <w:tblPr>
        <w:tblStyle w:val="6"/>
        <w:tblW w:w="893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2091"/>
        <w:gridCol w:w="1458"/>
        <w:gridCol w:w="741"/>
        <w:gridCol w:w="741"/>
        <w:gridCol w:w="741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85" w:type="dxa"/>
            <w:gridSpan w:val="2"/>
            <w:vMerge w:val="restart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</w:rPr>
              <w:pict>
                <v:shape id="_x0000_s1027" o:spid="_x0000_s1027" o:spt="75" type="#_x0000_t75" style="position:absolute;left:0pt;margin-left:-3.1pt;margin-top:12.95pt;height:273.4pt;width:175.75pt;z-index:1024;mso-width-relative:page;mso-height-relative:page;" filled="f" o:preferrelative="t" stroked="f" coordsize="21600,21600">
                  <v:path/>
                  <v:fill on="f" focussize="0,0"/>
                  <v:stroke on="f"/>
                  <v:imagedata r:id="rId4" o:title=""/>
                  <o:lock v:ext="edit" aspectratio="t"/>
                </v:shape>
              </w:pic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尺寸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长</w:t>
            </w:r>
            <w:r>
              <w:rPr>
                <w:rFonts w:ascii="宋体" w:hAnsi="宋体" w:cs="宋体"/>
                <w:color w:val="auto"/>
                <w:kern w:val="0"/>
              </w:rPr>
              <w:t xml:space="preserve">  mm(L)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宽</w:t>
            </w:r>
            <w:r>
              <w:rPr>
                <w:rFonts w:ascii="宋体" w:hAnsi="宋体" w:cs="宋体"/>
                <w:color w:val="auto"/>
                <w:kern w:val="0"/>
              </w:rPr>
              <w:t xml:space="preserve">  mm(W)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高</w:t>
            </w:r>
            <w:r>
              <w:rPr>
                <w:rFonts w:ascii="宋体" w:hAnsi="宋体" w:cs="宋体"/>
                <w:color w:val="auto"/>
                <w:kern w:val="0"/>
              </w:rPr>
              <w:t xml:space="preserve"> mm(H)</w:t>
            </w:r>
          </w:p>
        </w:tc>
        <w:tc>
          <w:tcPr>
            <w:tcW w:w="156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总高</w:t>
            </w:r>
            <w:r>
              <w:rPr>
                <w:rFonts w:ascii="宋体" w:hAnsi="宋体" w:cs="宋体"/>
                <w:color w:val="auto"/>
                <w:kern w:val="0"/>
              </w:rPr>
              <w:t xml:space="preserve">    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900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450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1800</w:t>
            </w:r>
          </w:p>
        </w:tc>
        <w:tc>
          <w:tcPr>
            <w:tcW w:w="15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1" w:hRule="atLeast"/>
        </w:trPr>
        <w:tc>
          <w:tcPr>
            <w:tcW w:w="36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备注：</w:t>
            </w:r>
          </w:p>
          <w:p>
            <w:pPr>
              <w:widowControl/>
              <w:jc w:val="left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、产品名称：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PP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通风药品柜（双开门）；</w:t>
            </w:r>
          </w:p>
          <w:p>
            <w:pPr>
              <w:widowControl/>
              <w:jc w:val="left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、三块可调层板；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配双锁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，挂锁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；</w:t>
            </w:r>
          </w:p>
          <w:p>
            <w:pPr>
              <w:widowControl/>
              <w:jc w:val="left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、警示标签：柜门开口贴有警示标签，提醒周围人群注意安全。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94" w:type="dxa"/>
            <w:vAlign w:val="center"/>
          </w:tcPr>
          <w:p>
            <w:pPr>
              <w:widowControl/>
              <w:rPr>
                <w:rFonts w:ascii="Wingdings" w:hAnsi="Wingdings" w:cs="Wingdings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外壳</w:t>
            </w:r>
          </w:p>
        </w:tc>
        <w:tc>
          <w:tcPr>
            <w:tcW w:w="7336" w:type="dxa"/>
            <w:gridSpan w:val="6"/>
            <w:vAlign w:val="center"/>
          </w:tcPr>
          <w:p>
            <w:pPr>
              <w:widowControl/>
              <w:spacing w:after="240"/>
              <w:jc w:val="left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采用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8mm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湛蓝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色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PP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（聚丙烯）板材，经过同色同质焊条焊接而成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94" w:type="dxa"/>
            <w:vAlign w:val="center"/>
          </w:tcPr>
          <w:p>
            <w:pPr>
              <w:widowControl/>
              <w:rPr>
                <w:rFonts w:ascii="Wingdings" w:hAnsi="Wingdings" w:cs="Wingdings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柜体</w:t>
            </w:r>
          </w:p>
        </w:tc>
        <w:tc>
          <w:tcPr>
            <w:tcW w:w="7336" w:type="dxa"/>
            <w:gridSpan w:val="6"/>
            <w:vAlign w:val="center"/>
          </w:tcPr>
          <w:p>
            <w:pPr>
              <w:widowControl/>
              <w:spacing w:after="240"/>
              <w:jc w:val="left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柜体采用一体成型、无缝焊技术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柜顶部有通风口可连接风机。不需配风机。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594" w:type="dxa"/>
            <w:vAlign w:val="center"/>
          </w:tcPr>
          <w:p>
            <w:pPr>
              <w:widowControl/>
              <w:rPr>
                <w:rFonts w:ascii="Wingdings" w:hAnsi="Wingdings" w:cs="Wingdings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层板</w:t>
            </w:r>
          </w:p>
        </w:tc>
        <w:tc>
          <w:tcPr>
            <w:tcW w:w="7336" w:type="dxa"/>
            <w:gridSpan w:val="6"/>
            <w:vAlign w:val="center"/>
          </w:tcPr>
          <w:p>
            <w:pPr>
              <w:widowControl/>
              <w:spacing w:after="240"/>
              <w:jc w:val="left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采用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8mm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厚优质纯料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PP(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聚丙烯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)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板制作经过同色同质焊条一体焊接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四周有立边，立边整体焊接成型，整体设计为活动式，可随意抽取放在合适的隔层，自由组合各层空间。层板反面均焊接加强筋，四周立边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一定程度防溢效果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94" w:type="dxa"/>
            <w:vAlign w:val="center"/>
          </w:tcPr>
          <w:p>
            <w:pPr>
              <w:widowControl/>
              <w:rPr>
                <w:rFonts w:ascii="Wingdings" w:hAnsi="Wingdings" w:cs="Wingdings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视窗</w:t>
            </w:r>
          </w:p>
        </w:tc>
        <w:tc>
          <w:tcPr>
            <w:tcW w:w="7336" w:type="dxa"/>
            <w:gridSpan w:val="6"/>
            <w:vAlign w:val="center"/>
          </w:tcPr>
          <w:p>
            <w:pPr>
              <w:widowControl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采用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5mm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钢化玻璃制作，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94" w:type="dxa"/>
            <w:vAlign w:val="center"/>
          </w:tcPr>
          <w:p>
            <w:pPr>
              <w:widowControl/>
              <w:rPr>
                <w:rFonts w:ascii="Wingdings" w:hAnsi="Wingdings" w:cs="Wingdings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门把手</w:t>
            </w:r>
          </w:p>
        </w:tc>
        <w:tc>
          <w:tcPr>
            <w:tcW w:w="7336" w:type="dxa"/>
            <w:gridSpan w:val="6"/>
            <w:vAlign w:val="center"/>
          </w:tcPr>
          <w:p>
            <w:pPr>
              <w:widowControl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耐酸碱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PP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桥式把手，耐腐蚀性能好，（颜色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湛蓝，瓷白）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94" w:type="dxa"/>
            <w:vAlign w:val="center"/>
          </w:tcPr>
          <w:p>
            <w:pPr>
              <w:widowControl/>
              <w:rPr>
                <w:rFonts w:ascii="Wingdings" w:hAnsi="Wingdings" w:cs="Wingdings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门合页</w:t>
            </w:r>
          </w:p>
        </w:tc>
        <w:tc>
          <w:tcPr>
            <w:tcW w:w="7336" w:type="dxa"/>
            <w:gridSpan w:val="6"/>
            <w:vAlign w:val="center"/>
          </w:tcPr>
          <w:p>
            <w:pPr>
              <w:widowControl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耐酸碱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PP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材质，耐腐蚀性能好，（颜色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湛蓝，瓷白）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4" w:type="dxa"/>
            <w:vAlign w:val="center"/>
          </w:tcPr>
          <w:p>
            <w:pPr>
              <w:widowControl/>
              <w:rPr>
                <w:rFonts w:ascii="Wingdings" w:hAnsi="Wingdings" w:cs="Wingdings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配件</w:t>
            </w:r>
          </w:p>
        </w:tc>
        <w:tc>
          <w:tcPr>
            <w:tcW w:w="7336" w:type="dxa"/>
            <w:gridSpan w:val="6"/>
            <w:vAlign w:val="center"/>
          </w:tcPr>
          <w:p>
            <w:pPr>
              <w:widowControl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采用耐强酸、强碱材质合页、碰珠、螺丝，拉门采用同质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PP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聚丙稀材料制作。</w:t>
            </w:r>
          </w:p>
        </w:tc>
      </w:tr>
    </w:tbl>
    <w:p>
      <w:pPr>
        <w:rPr>
          <w:rFonts w:cs="Times New Roman"/>
          <w:color w:val="auto"/>
        </w:rPr>
      </w:pPr>
    </w:p>
    <w:sectPr>
      <w:pgSz w:w="11906" w:h="16838"/>
      <w:pgMar w:top="1440" w:right="1800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]壵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宋体Y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D2E2CC4"/>
    <w:rsid w:val="00094EEE"/>
    <w:rsid w:val="001C2F17"/>
    <w:rsid w:val="001F0231"/>
    <w:rsid w:val="003E6AF2"/>
    <w:rsid w:val="004729A1"/>
    <w:rsid w:val="004D6D7F"/>
    <w:rsid w:val="005F048D"/>
    <w:rsid w:val="00602EC5"/>
    <w:rsid w:val="006A1E10"/>
    <w:rsid w:val="008656CF"/>
    <w:rsid w:val="008B0AB2"/>
    <w:rsid w:val="008F79D1"/>
    <w:rsid w:val="00B725A9"/>
    <w:rsid w:val="00BC4B01"/>
    <w:rsid w:val="00C90FB1"/>
    <w:rsid w:val="00CA74B5"/>
    <w:rsid w:val="00D85A1D"/>
    <w:rsid w:val="00DF076A"/>
    <w:rsid w:val="00EA7661"/>
    <w:rsid w:val="04A80478"/>
    <w:rsid w:val="16CF7AF5"/>
    <w:rsid w:val="177C4641"/>
    <w:rsid w:val="1D2E2CC4"/>
    <w:rsid w:val="1F3D0B48"/>
    <w:rsid w:val="24ED2456"/>
    <w:rsid w:val="2DF425FB"/>
    <w:rsid w:val="350969BC"/>
    <w:rsid w:val="46DF4D03"/>
    <w:rsid w:val="50EF1CB8"/>
    <w:rsid w:val="65110C44"/>
    <w:rsid w:val="6809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basedOn w:val="4"/>
    <w:qFormat/>
    <w:uiPriority w:val="99"/>
    <w:rPr>
      <w:color w:val="auto"/>
      <w:u w:val="single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basedOn w:val="4"/>
    <w:link w:val="2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98</Words>
  <Characters>564</Characters>
  <Lines>4</Lines>
  <Paragraphs>1</Paragraphs>
  <ScaleCrop>false</ScaleCrop>
  <LinksUpToDate>false</LinksUpToDate>
  <CharactersWithSpaces>661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2017-10-13T02:04:00Z</dcterms:created>
  <dc:creator>Administrator</dc:creator>
  <cp:lastModifiedBy>Administrator</cp:lastModifiedBy>
  <cp:lastPrinted>2017-10-26T02:26:00Z</cp:lastPrinted>
  <dcterms:modified xsi:type="dcterms:W3CDTF">2017-11-16T02:01:25Z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