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8" w:leftChars="150" w:hanging="883" w:hangingChars="200"/>
        <w:jc w:val="center"/>
        <w:rPr>
          <w:rFonts w:ascii="宋体" w:hAnsi="宋体"/>
          <w:b/>
          <w:color w:val="000000" w:themeColor="text1"/>
          <w:sz w:val="44"/>
          <w:szCs w:val="44"/>
          <w14:textFill>
            <w14:solidFill>
              <w14:schemeClr w14:val="tx1"/>
            </w14:solidFill>
          </w14:textFill>
        </w:rPr>
      </w:pPr>
    </w:p>
    <w:p>
      <w:pPr>
        <w:spacing w:line="360" w:lineRule="auto"/>
        <w:jc w:val="center"/>
        <w:rPr>
          <w:rFonts w:hint="eastAsia" w:ascii="宋体" w:hAnsi="宋体"/>
          <w:color w:val="000000" w:themeColor="text1"/>
          <w:sz w:val="44"/>
          <w:szCs w:val="44"/>
          <w14:textFill>
            <w14:solidFill>
              <w14:schemeClr w14:val="tx1"/>
            </w14:solidFill>
          </w14:textFill>
        </w:rPr>
      </w:pPr>
      <w:permStart w:id="0" w:edGrp="everyone"/>
      <w:r>
        <w:rPr>
          <w:rFonts w:hint="eastAsia" w:ascii="宋体" w:hAnsi="宋体"/>
          <w:color w:val="000000" w:themeColor="text1"/>
          <w:sz w:val="44"/>
          <w:szCs w:val="44"/>
          <w14:textFill>
            <w14:solidFill>
              <w14:schemeClr w14:val="tx1"/>
            </w14:solidFill>
          </w14:textFill>
        </w:rPr>
        <w:t>黄山学院逸夫图书馆公共区域出新工程</w:t>
      </w:r>
    </w:p>
    <w:p>
      <w:pPr>
        <w:spacing w:line="360" w:lineRule="auto"/>
        <w:jc w:val="center"/>
        <w:rPr>
          <w:rFonts w:hint="eastAsia" w:ascii="宋体" w:hAnsi="宋体"/>
          <w:color w:val="000000" w:themeColor="text1"/>
          <w:sz w:val="24"/>
          <w:szCs w:val="24"/>
          <w14:textFill>
            <w14:solidFill>
              <w14:schemeClr w14:val="tx1"/>
            </w14:solidFill>
          </w14:textFill>
        </w:rPr>
      </w:pP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项目编号：HSXYFS-2018-00</w:t>
      </w:r>
      <w:r>
        <w:rPr>
          <w:rFonts w:hint="eastAsia" w:ascii="宋体" w:hAnsi="宋体"/>
          <w:color w:val="000000" w:themeColor="text1"/>
          <w:sz w:val="24"/>
          <w:szCs w:val="24"/>
          <w:lang w:val="en-US" w:eastAsia="zh-CN"/>
          <w14:textFill>
            <w14:solidFill>
              <w14:schemeClr w14:val="tx1"/>
            </w14:solidFill>
          </w14:textFill>
        </w:rPr>
        <w:t>9</w:t>
      </w:r>
    </w:p>
    <w:permEnd w:id="0"/>
    <w:p>
      <w:pPr>
        <w:spacing w:line="360" w:lineRule="auto"/>
        <w:jc w:val="center"/>
        <w:rPr>
          <w:rFonts w:ascii="宋体" w:hAnsi="宋体"/>
          <w:color w:val="000000" w:themeColor="text1"/>
          <w:sz w:val="30"/>
          <w:szCs w:val="30"/>
          <w14:textFill>
            <w14:solidFill>
              <w14:schemeClr w14:val="tx1"/>
            </w14:solidFill>
          </w14:textFill>
        </w:rPr>
      </w:pP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竞</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争</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性</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谈</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判</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文</w:t>
      </w:r>
    </w:p>
    <w:p>
      <w:pPr>
        <w:spacing w:line="800" w:lineRule="exact"/>
        <w:jc w:val="center"/>
        <w:rPr>
          <w:rFonts w:ascii="宋体" w:hAnsi="宋体"/>
          <w:b/>
          <w:color w:val="000000" w:themeColor="text1"/>
          <w:sz w:val="44"/>
          <w:szCs w:val="44"/>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件</w:t>
      </w:r>
    </w:p>
    <w:p>
      <w:pPr>
        <w:spacing w:line="360" w:lineRule="auto"/>
        <w:ind w:firstLine="3477" w:firstLineChars="1237"/>
        <w:rPr>
          <w:rFonts w:ascii="黑体" w:hAnsi="宋体" w:eastAsia="黑体"/>
          <w:b/>
          <w:color w:val="000000" w:themeColor="text1"/>
          <w:sz w:val="28"/>
          <w:szCs w:val="28"/>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pacing w:val="10"/>
          <w:sz w:val="28"/>
          <w:szCs w:val="28"/>
          <w14:textFill>
            <w14:solidFill>
              <w14:schemeClr w14:val="tx1"/>
            </w14:solidFill>
          </w14:textFill>
        </w:rPr>
        <w:t xml:space="preserve">        </w:t>
      </w:r>
      <w:r>
        <w:rPr>
          <w:rFonts w:hint="eastAsia" w:ascii="黑体" w:hAnsi="宋体" w:eastAsia="黑体"/>
          <w:color w:val="000000" w:themeColor="text1"/>
          <w:spacing w:val="10"/>
          <w:sz w:val="28"/>
          <w:szCs w:val="28"/>
          <w:lang w:val="en-US" w:eastAsia="zh-CN"/>
          <w14:textFill>
            <w14:solidFill>
              <w14:schemeClr w14:val="tx1"/>
            </w14:solidFill>
          </w14:textFill>
        </w:rPr>
        <w:t xml:space="preserve"> </w:t>
      </w:r>
      <w:r>
        <w:rPr>
          <w:rFonts w:hint="eastAsia" w:ascii="黑体" w:hAnsi="宋体" w:eastAsia="黑体"/>
          <w:color w:val="000000" w:themeColor="text1"/>
          <w:spacing w:val="10"/>
          <w:sz w:val="28"/>
          <w:szCs w:val="28"/>
          <w14:textFill>
            <w14:solidFill>
              <w14:schemeClr w14:val="tx1"/>
            </w14:solidFill>
          </w14:textFill>
        </w:rPr>
        <w:t>采 购 人：</w:t>
      </w:r>
      <w:r>
        <w:rPr>
          <w:rFonts w:hint="eastAsia" w:ascii="黑体" w:hAnsi="宋体" w:eastAsia="黑体"/>
          <w:color w:val="000000" w:themeColor="text1"/>
          <w:sz w:val="28"/>
          <w:szCs w:val="28"/>
          <w:u w:val="single"/>
          <w14:textFill>
            <w14:solidFill>
              <w14:schemeClr w14:val="tx1"/>
            </w14:solidFill>
          </w14:textFill>
        </w:rPr>
        <w:t xml:space="preserve">          黄 山 学 院         </w:t>
      </w:r>
      <w:r>
        <w:rPr>
          <w:rFonts w:hint="eastAsia" w:ascii="黑体" w:hAnsi="宋体" w:eastAsia="黑体"/>
          <w:color w:val="000000" w:themeColor="text1"/>
          <w:sz w:val="28"/>
          <w:szCs w:val="28"/>
          <w14:textFill>
            <w14:solidFill>
              <w14:schemeClr w14:val="tx1"/>
            </w14:solidFill>
          </w14:textFill>
        </w:rPr>
        <w:t>（盖章）</w:t>
      </w: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代理机构：</w:t>
      </w:r>
      <w:r>
        <w:rPr>
          <w:rFonts w:hint="eastAsia" w:ascii="黑体" w:hAnsi="宋体" w:eastAsia="黑体"/>
          <w:color w:val="000000" w:themeColor="text1"/>
          <w:sz w:val="28"/>
          <w:szCs w:val="28"/>
          <w:u w:val="single"/>
          <w:lang w:eastAsia="zh-CN"/>
          <w14:textFill>
            <w14:solidFill>
              <w14:schemeClr w14:val="tx1"/>
            </w14:solidFill>
          </w14:textFill>
        </w:rPr>
        <w:t>浙江兴业建设项目管理有限公司</w:t>
      </w:r>
      <w:r>
        <w:rPr>
          <w:rFonts w:hint="eastAsia" w:ascii="黑体" w:hAnsi="宋体" w:eastAsia="黑体"/>
          <w:color w:val="000000" w:themeColor="text1"/>
          <w:sz w:val="28"/>
          <w:szCs w:val="28"/>
          <w:u w:val="single"/>
          <w:lang w:val="en-US" w:eastAsia="zh-CN"/>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（盖章）</w:t>
      </w:r>
    </w:p>
    <w:p>
      <w:pPr>
        <w:jc w:val="center"/>
        <w:rPr>
          <w:rFonts w:ascii="黑体" w:hAnsi="宋体" w:eastAsia="黑体"/>
          <w:color w:val="000000" w:themeColor="text1"/>
          <w:sz w:val="28"/>
          <w:szCs w:val="28"/>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  </w:t>
      </w:r>
      <w:permStart w:id="1" w:edGrp="everyone"/>
      <w:r>
        <w:rPr>
          <w:rFonts w:hint="eastAsia" w:ascii="黑体" w:hAnsi="宋体" w:eastAsia="黑体"/>
          <w:color w:val="000000" w:themeColor="text1"/>
          <w:sz w:val="28"/>
          <w:szCs w:val="28"/>
          <w14:textFill>
            <w14:solidFill>
              <w14:schemeClr w14:val="tx1"/>
            </w14:solidFill>
          </w14:textFill>
        </w:rPr>
        <w:t>2018年7月</w:t>
      </w:r>
      <w:r>
        <w:rPr>
          <w:rFonts w:hint="eastAsia" w:ascii="黑体" w:hAnsi="黑体" w:eastAsia="黑体"/>
          <w:color w:val="000000" w:themeColor="text1"/>
          <w14:textFill>
            <w14:solidFill>
              <w14:schemeClr w14:val="tx1"/>
            </w14:solidFill>
          </w14:textFill>
        </w:rPr>
        <w:t xml:space="preserve"> </w:t>
      </w:r>
    </w:p>
    <w:p>
      <w:pPr>
        <w:spacing w:line="360" w:lineRule="auto"/>
        <w:ind w:right="42" w:rightChars="20"/>
        <w:jc w:val="center"/>
        <w:rPr>
          <w:rFonts w:ascii="黑体" w:hAnsi="黑体" w:eastAsia="黑体"/>
          <w:color w:val="000000" w:themeColor="text1"/>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p>
    <w:permEnd w:id="1"/>
    <w:p>
      <w:pPr>
        <w:spacing w:line="360" w:lineRule="auto"/>
        <w:ind w:right="42" w:rightChars="20"/>
        <w:jc w:val="center"/>
        <w:rPr>
          <w:rFonts w:ascii="黑体" w:hAnsi="宋体" w:eastAsia="黑体"/>
          <w:color w:val="000000" w:themeColor="text1"/>
          <w:sz w:val="28"/>
          <w:szCs w:val="28"/>
          <w14:textFill>
            <w14:solidFill>
              <w14:schemeClr w14:val="tx1"/>
            </w14:solidFill>
          </w14:textFill>
        </w:rPr>
      </w:pPr>
      <w:r>
        <w:rPr>
          <w:rFonts w:ascii="黑体" w:hAnsi="黑体" w:eastAsia="黑体"/>
          <w:color w:val="000000" w:themeColor="text1"/>
          <w:sz w:val="36"/>
          <w:szCs w:val="36"/>
          <w:lang w:val="zh-CN"/>
          <w14:textFill>
            <w14:solidFill>
              <w14:schemeClr w14:val="tx1"/>
            </w14:solidFill>
          </w14:textFill>
        </w:rPr>
        <w:t>目</w:t>
      </w:r>
      <w:r>
        <w:rPr>
          <w:rFonts w:hint="eastAsia" w:ascii="黑体" w:hAnsi="黑体" w:eastAsia="黑体"/>
          <w:color w:val="000000" w:themeColor="text1"/>
          <w:sz w:val="36"/>
          <w:szCs w:val="36"/>
          <w:lang w:val="zh-CN"/>
          <w14:textFill>
            <w14:solidFill>
              <w14:schemeClr w14:val="tx1"/>
            </w14:solidFill>
          </w14:textFill>
        </w:rPr>
        <w:t xml:space="preserve">  </w:t>
      </w:r>
      <w:r>
        <w:rPr>
          <w:rFonts w:ascii="黑体" w:hAnsi="黑体" w:eastAsia="黑体"/>
          <w:color w:val="000000" w:themeColor="text1"/>
          <w:sz w:val="36"/>
          <w:szCs w:val="36"/>
          <w:lang w:val="zh-CN"/>
          <w14:textFill>
            <w14:solidFill>
              <w14:schemeClr w14:val="tx1"/>
            </w14:solidFill>
          </w14:textFill>
        </w:rPr>
        <w:t>录</w:t>
      </w:r>
    </w:p>
    <w:p>
      <w:pPr>
        <w:pStyle w:val="35"/>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"_Toc518654902" </w:instrText>
      </w:r>
      <w:r>
        <w:fldChar w:fldCharType="separate"/>
      </w:r>
      <w:r>
        <w:rPr>
          <w:rStyle w:val="57"/>
          <w:rFonts w:hint="eastAsia"/>
          <w:color w:val="000000" w:themeColor="text1"/>
          <w14:textFill>
            <w14:solidFill>
              <w14:schemeClr w14:val="tx1"/>
            </w14:solidFill>
          </w14:textFill>
        </w:rPr>
        <w:t>谈判文件第一部分（专用部分）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"_Toc518654903" </w:instrText>
      </w:r>
      <w:r>
        <w:fldChar w:fldCharType="separate"/>
      </w:r>
      <w:r>
        <w:rPr>
          <w:rStyle w:val="57"/>
          <w:rFonts w:hint="eastAsia"/>
          <w:color w:val="000000" w:themeColor="text1"/>
          <w14:textFill>
            <w14:solidFill>
              <w14:schemeClr w14:val="tx1"/>
            </w14:solidFill>
          </w14:textFill>
        </w:rPr>
        <w:t>第一章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"_Toc518654904" </w:instrText>
      </w:r>
      <w:r>
        <w:fldChar w:fldCharType="separate"/>
      </w:r>
      <w:r>
        <w:rPr>
          <w:rStyle w:val="57"/>
          <w:rFonts w:hint="eastAsia"/>
          <w:color w:val="000000" w:themeColor="text1"/>
          <w14:textFill>
            <w14:solidFill>
              <w14:schemeClr w14:val="tx1"/>
            </w14:solidFill>
          </w14:textFill>
        </w:rPr>
        <w:t>第二章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"_Toc518654905" </w:instrText>
      </w:r>
      <w:r>
        <w:fldChar w:fldCharType="separate"/>
      </w:r>
      <w:r>
        <w:rPr>
          <w:rStyle w:val="57"/>
          <w:rFonts w:hint="eastAsia"/>
          <w:color w:val="000000" w:themeColor="text1"/>
          <w14:textFill>
            <w14:solidFill>
              <w14:schemeClr w14:val="tx1"/>
            </w14:solidFill>
          </w14:textFill>
        </w:rPr>
        <w:t>第三章、项目要求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"_Toc518654906" </w:instrText>
      </w:r>
      <w:r>
        <w:fldChar w:fldCharType="separate"/>
      </w:r>
      <w:r>
        <w:rPr>
          <w:rStyle w:val="57"/>
          <w:rFonts w:hint="eastAsia"/>
          <w:color w:val="000000" w:themeColor="text1"/>
          <w14:textFill>
            <w14:solidFill>
              <w14:schemeClr w14:val="tx1"/>
            </w14:solidFill>
          </w14:textFill>
        </w:rPr>
        <w:t>第四章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资格性和符合性评审表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"_Toc518654907" </w:instrText>
      </w:r>
      <w:r>
        <w:fldChar w:fldCharType="separate"/>
      </w:r>
      <w:r>
        <w:rPr>
          <w:rStyle w:val="57"/>
          <w:rFonts w:hint="eastAsia"/>
          <w:color w:val="000000" w:themeColor="text1"/>
          <w14:textFill>
            <w14:solidFill>
              <w14:schemeClr w14:val="tx1"/>
            </w14:solidFill>
          </w14:textFill>
        </w:rPr>
        <w:t>一、资格性审查表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"_Toc518654908" </w:instrText>
      </w:r>
      <w:r>
        <w:fldChar w:fldCharType="separate"/>
      </w:r>
      <w:r>
        <w:rPr>
          <w:rStyle w:val="57"/>
          <w:rFonts w:hint="eastAsia"/>
          <w:color w:val="000000" w:themeColor="text1"/>
          <w:lang w:bidi="he-IL"/>
          <w14:textFill>
            <w14:solidFill>
              <w14:schemeClr w14:val="tx1"/>
            </w14:solidFill>
          </w14:textFill>
        </w:rPr>
        <w:t>二、符合性审查表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"_Toc518654909" </w:instrText>
      </w:r>
      <w:r>
        <w:fldChar w:fldCharType="separate"/>
      </w:r>
      <w:r>
        <w:rPr>
          <w:rStyle w:val="57"/>
          <w:rFonts w:hint="eastAsia"/>
          <w:color w:val="000000" w:themeColor="text1"/>
          <w14:textFill>
            <w14:solidFill>
              <w14:schemeClr w14:val="tx1"/>
            </w14:solidFill>
          </w14:textFill>
        </w:rPr>
        <w:t>谈判文件第二部分（通用部分）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"_Toc518654910" </w:instrText>
      </w:r>
      <w:r>
        <w:fldChar w:fldCharType="separate"/>
      </w:r>
      <w:r>
        <w:rPr>
          <w:rStyle w:val="57"/>
          <w:rFonts w:hint="eastAsia"/>
          <w:color w:val="000000" w:themeColor="text1"/>
          <w14:textFill>
            <w14:solidFill>
              <w14:schemeClr w14:val="tx1"/>
            </w14:solidFill>
          </w14:textFill>
        </w:rPr>
        <w:t>第五章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"_Toc518654911" </w:instrText>
      </w:r>
      <w:r>
        <w:fldChar w:fldCharType="separate"/>
      </w:r>
      <w:r>
        <w:rPr>
          <w:rStyle w:val="57"/>
          <w:rFonts w:hint="eastAsia"/>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"_Toc518654912" </w:instrText>
      </w:r>
      <w:r>
        <w:fldChar w:fldCharType="separate"/>
      </w:r>
      <w:r>
        <w:rPr>
          <w:rStyle w:val="57"/>
          <w:rFonts w:hint="eastAsia"/>
          <w:color w:val="000000" w:themeColor="text1"/>
          <w14:textFill>
            <w14:solidFill>
              <w14:schemeClr w14:val="tx1"/>
            </w14:solidFill>
          </w14:textFill>
        </w:rPr>
        <w:t>二、竞争性谈判文件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"_Toc518654913" </w:instrText>
      </w:r>
      <w:r>
        <w:fldChar w:fldCharType="separate"/>
      </w:r>
      <w:r>
        <w:rPr>
          <w:rStyle w:val="57"/>
          <w:rFonts w:hint="eastAsia"/>
          <w:color w:val="000000" w:themeColor="text1"/>
          <w14:textFill>
            <w14:solidFill>
              <w14:schemeClr w14:val="tx1"/>
            </w14:solidFill>
          </w14:textFill>
        </w:rPr>
        <w:t>三、谈判响应文件的编制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"_Toc518654914" </w:instrText>
      </w:r>
      <w:r>
        <w:fldChar w:fldCharType="separate"/>
      </w:r>
      <w:r>
        <w:rPr>
          <w:rStyle w:val="57"/>
          <w:rFonts w:hint="eastAsia"/>
          <w:color w:val="000000" w:themeColor="text1"/>
          <w14:textFill>
            <w14:solidFill>
              <w14:schemeClr w14:val="tx1"/>
            </w14:solidFill>
          </w14:textFill>
        </w:rPr>
        <w:t>四、谈判响应文件的提交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"_Toc518654915" </w:instrText>
      </w:r>
      <w:r>
        <w:fldChar w:fldCharType="separate"/>
      </w:r>
      <w:r>
        <w:rPr>
          <w:rStyle w:val="57"/>
          <w:rFonts w:hint="eastAsia"/>
          <w:color w:val="000000" w:themeColor="text1"/>
          <w14:textFill>
            <w14:solidFill>
              <w14:schemeClr w14:val="tx1"/>
            </w14:solidFill>
          </w14:textFill>
        </w:rPr>
        <w:t>五、谈判与评审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"_Toc518654916" </w:instrText>
      </w:r>
      <w:r>
        <w:fldChar w:fldCharType="separate"/>
      </w:r>
      <w:r>
        <w:rPr>
          <w:rStyle w:val="57"/>
          <w:rFonts w:hint="eastAsia"/>
          <w:color w:val="000000" w:themeColor="text1"/>
          <w14:textFill>
            <w14:solidFill>
              <w14:schemeClr w14:val="tx1"/>
            </w14:solidFill>
          </w14:textFill>
        </w:rPr>
        <w:t>六、定标和授予合同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"_Toc518654917" </w:instrText>
      </w:r>
      <w:r>
        <w:fldChar w:fldCharType="separate"/>
      </w:r>
      <w:r>
        <w:rPr>
          <w:rStyle w:val="57"/>
          <w:rFonts w:hint="eastAsia"/>
          <w:color w:val="000000" w:themeColor="text1"/>
          <w14:textFill>
            <w14:solidFill>
              <w14:schemeClr w14:val="tx1"/>
            </w14:solidFill>
          </w14:textFill>
        </w:rPr>
        <w:t>七、</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质疑与投诉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"_Toc518654918" </w:instrText>
      </w:r>
      <w:r>
        <w:fldChar w:fldCharType="separate"/>
      </w:r>
      <w:r>
        <w:rPr>
          <w:rStyle w:val="57"/>
          <w:rFonts w:hint="eastAsia"/>
          <w:color w:val="000000" w:themeColor="text1"/>
          <w14:textFill>
            <w14:solidFill>
              <w14:schemeClr w14:val="tx1"/>
            </w14:solidFill>
          </w14:textFill>
        </w:rPr>
        <w:t>第六章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合同格式（仅供参考）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"_Toc518654919" </w:instrText>
      </w:r>
      <w:r>
        <w:fldChar w:fldCharType="separate"/>
      </w:r>
      <w:r>
        <w:rPr>
          <w:rStyle w:val="57"/>
          <w:rFonts w:hint="eastAsia"/>
          <w:color w:val="000000" w:themeColor="text1"/>
          <w:lang w:bidi="he-IL"/>
          <w14:textFill>
            <w14:solidFill>
              <w14:schemeClr w14:val="tx1"/>
            </w14:solidFill>
          </w14:textFill>
        </w:rPr>
        <w:t>第七章</w:t>
      </w:r>
      <w:r>
        <w:rPr>
          <w:rStyle w:val="57"/>
          <w:color w:val="000000" w:themeColor="text1"/>
          <w:lang w:bidi="he-IL"/>
          <w14:textFill>
            <w14:solidFill>
              <w14:schemeClr w14:val="tx1"/>
            </w14:solidFill>
          </w14:textFill>
        </w:rPr>
        <w:t xml:space="preserve"> </w:t>
      </w:r>
      <w:r>
        <w:rPr>
          <w:rStyle w:val="57"/>
          <w:rFonts w:hint="eastAsia"/>
          <w:color w:val="000000" w:themeColor="text1"/>
          <w:lang w:bidi="he-IL"/>
          <w14:textFill>
            <w14:solidFill>
              <w14:schemeClr w14:val="tx1"/>
            </w14:solidFill>
          </w14:textFill>
        </w:rPr>
        <w:t>谈判响应文件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"_Toc518654920" </w:instrText>
      </w:r>
      <w:r>
        <w:fldChar w:fldCharType="separate"/>
      </w:r>
      <w:r>
        <w:rPr>
          <w:rStyle w:val="57"/>
          <w:rFonts w:hint="eastAsia"/>
          <w:color w:val="000000" w:themeColor="text1"/>
          <w14:textFill>
            <w14:solidFill>
              <w14:schemeClr w14:val="tx1"/>
            </w14:solidFill>
          </w14:textFill>
        </w:rPr>
        <w:t>商务技术标格式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"_Toc518654921" </w:instrText>
      </w:r>
      <w:r>
        <w:fldChar w:fldCharType="separate"/>
      </w:r>
      <w:r>
        <w:rPr>
          <w:rStyle w:val="57"/>
          <w:rFonts w:hint="eastAsia"/>
          <w:color w:val="000000" w:themeColor="text1"/>
          <w14:textFill>
            <w14:solidFill>
              <w14:schemeClr w14:val="tx1"/>
            </w14:solidFill>
          </w14:textFill>
        </w:rPr>
        <w:t>一、投标函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"_Toc518654922" </w:instrText>
      </w:r>
      <w:r>
        <w:fldChar w:fldCharType="separate"/>
      </w:r>
      <w:r>
        <w:rPr>
          <w:rStyle w:val="57"/>
          <w:rFonts w:hint="eastAsia"/>
          <w:color w:val="000000" w:themeColor="text1"/>
          <w14:textFill>
            <w14:solidFill>
              <w14:schemeClr w14:val="tx1"/>
            </w14:solidFill>
          </w14:textFill>
        </w:rPr>
        <w:t>二、项目要求响应情况表（服务类、工程类项目适用）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"_Toc518654923" </w:instrText>
      </w:r>
      <w:r>
        <w:fldChar w:fldCharType="separate"/>
      </w:r>
      <w:r>
        <w:rPr>
          <w:rStyle w:val="57"/>
          <w:rFonts w:hint="eastAsia"/>
          <w:color w:val="000000" w:themeColor="text1"/>
          <w14:textFill>
            <w14:solidFill>
              <w14:schemeClr w14:val="tx1"/>
            </w14:solidFill>
          </w14:textFill>
        </w:rPr>
        <w:t>三、商务要求响应情况表（通用）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"_Toc518654924" </w:instrText>
      </w:r>
      <w:r>
        <w:fldChar w:fldCharType="separate"/>
      </w:r>
      <w:r>
        <w:rPr>
          <w:rStyle w:val="57"/>
          <w:rFonts w:hint="eastAsia"/>
          <w:color w:val="000000" w:themeColor="text1"/>
          <w14:textFill>
            <w14:solidFill>
              <w14:schemeClr w14:val="tx1"/>
            </w14:solidFill>
          </w14:textFill>
        </w:rPr>
        <w:t>四、本项目实施方案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"_Toc518654925" </w:instrText>
      </w:r>
      <w:r>
        <w:fldChar w:fldCharType="separate"/>
      </w:r>
      <w:r>
        <w:rPr>
          <w:rStyle w:val="57"/>
          <w:rFonts w:hint="eastAsia"/>
          <w:color w:val="000000" w:themeColor="text1"/>
          <w14:textFill>
            <w14:solidFill>
              <w14:schemeClr w14:val="tx1"/>
            </w14:solidFill>
          </w14:textFill>
        </w:rPr>
        <w:t>五、资格证明文件及其他重要资料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"_Toc518654926" </w:instrText>
      </w:r>
      <w:r>
        <w:fldChar w:fldCharType="separate"/>
      </w:r>
      <w:r>
        <w:rPr>
          <w:rStyle w:val="57"/>
          <w:rFonts w:hint="eastAsia"/>
          <w:color w:val="000000" w:themeColor="text1"/>
          <w14:textFill>
            <w14:solidFill>
              <w14:schemeClr w14:val="tx1"/>
            </w14:solidFill>
          </w14:textFill>
        </w:rPr>
        <w:t>价格标格式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"_Toc518654927" </w:instrText>
      </w:r>
      <w:r>
        <w:fldChar w:fldCharType="separate"/>
      </w:r>
      <w:r>
        <w:rPr>
          <w:rStyle w:val="57"/>
          <w:rFonts w:hint="eastAsia"/>
          <w:color w:val="000000" w:themeColor="text1"/>
          <w14:textFill>
            <w14:solidFill>
              <w14:schemeClr w14:val="tx1"/>
            </w14:solidFill>
          </w14:textFill>
        </w:rPr>
        <w:t>一、开标一览表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"_Toc518654928" </w:instrText>
      </w:r>
      <w:r>
        <w:fldChar w:fldCharType="separate"/>
      </w:r>
      <w:r>
        <w:rPr>
          <w:rStyle w:val="57"/>
          <w:rFonts w:hint="eastAsia"/>
          <w:color w:val="000000" w:themeColor="text1"/>
          <w14:textFill>
            <w14:solidFill>
              <w14:schemeClr w14:val="tx1"/>
            </w14:solidFill>
          </w14:textFill>
        </w:rPr>
        <w:t>二、分项报价表（服务类、工程类项目适用）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1"/>
        <w:jc w:val="left"/>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end"/>
      </w:r>
      <w:bookmarkStart w:id="0" w:name="_Toc488157394"/>
      <w:r>
        <w:rPr>
          <w:color w:val="000000" w:themeColor="text1"/>
          <w14:textFill>
            <w14:solidFill>
              <w14:schemeClr w14:val="tx1"/>
            </w14:solidFill>
          </w14:textFill>
        </w:rPr>
        <w:br w:type="page"/>
      </w:r>
      <w:bookmarkStart w:id="1" w:name="_Toc511654025"/>
      <w:bookmarkStart w:id="2" w:name="_Toc518654902"/>
      <w:r>
        <w:rPr>
          <w:rFonts w:hint="eastAsia"/>
          <w:color w:val="000000" w:themeColor="text1"/>
          <w14:textFill>
            <w14:solidFill>
              <w14:schemeClr w14:val="tx1"/>
            </w14:solidFill>
          </w14:textFill>
        </w:rPr>
        <w:t>谈判文件第一部分（专用部分）</w:t>
      </w:r>
      <w:bookmarkEnd w:id="1"/>
      <w:bookmarkEnd w:id="2"/>
    </w:p>
    <w:p>
      <w:pPr>
        <w:pStyle w:val="116"/>
        <w:keepNext w:val="0"/>
        <w:keepLines w:val="0"/>
        <w:spacing w:before="0" w:after="0" w:line="540" w:lineRule="exact"/>
        <w:ind w:left="1785" w:leftChars="850" w:firstLine="964" w:firstLineChars="300"/>
        <w:jc w:val="both"/>
        <w:rPr>
          <w:color w:val="000000" w:themeColor="text1"/>
          <w14:textFill>
            <w14:solidFill>
              <w14:schemeClr w14:val="tx1"/>
            </w14:solidFill>
          </w14:textFill>
        </w:rPr>
      </w:pPr>
      <w:bookmarkStart w:id="3" w:name="_Toc518654903"/>
      <w:r>
        <w:rPr>
          <w:rFonts w:hint="eastAsia"/>
          <w:color w:val="000000" w:themeColor="text1"/>
          <w14:textFill>
            <w14:solidFill>
              <w14:schemeClr w14:val="tx1"/>
            </w14:solidFill>
          </w14:textFill>
        </w:rPr>
        <w:t xml:space="preserve">第一章 </w:t>
      </w:r>
      <w:r>
        <w:rPr>
          <w:color w:val="000000" w:themeColor="text1"/>
          <w14:textFill>
            <w14:solidFill>
              <w14:schemeClr w14:val="tx1"/>
            </w14:solidFill>
          </w14:textFill>
        </w:rPr>
        <w:t>竞争性谈判</w:t>
      </w:r>
      <w:bookmarkEnd w:id="0"/>
      <w:r>
        <w:rPr>
          <w:rFonts w:hint="eastAsia"/>
          <w:color w:val="000000" w:themeColor="text1"/>
          <w14:textFill>
            <w14:solidFill>
              <w14:schemeClr w14:val="tx1"/>
            </w14:solidFill>
          </w14:textFill>
        </w:rPr>
        <w:t>公告</w:t>
      </w:r>
      <w:bookmarkEnd w:id="3"/>
    </w:p>
    <w:p>
      <w:pPr>
        <w:spacing w:line="480" w:lineRule="exact"/>
        <w:jc w:val="center"/>
        <w:rPr>
          <w:rFonts w:ascii="黑体" w:hAnsi="黑体" w:eastAsia="黑体"/>
          <w:color w:val="000000" w:themeColor="text1"/>
          <w:sz w:val="32"/>
          <w:szCs w:val="32"/>
          <w14:textFill>
            <w14:solidFill>
              <w14:schemeClr w14:val="tx1"/>
            </w14:solidFill>
          </w14:textFill>
        </w:rPr>
      </w:pPr>
      <w:bookmarkStart w:id="4" w:name="_Toc272218544"/>
      <w:r>
        <w:rPr>
          <w:rFonts w:hint="eastAsia" w:ascii="黑体" w:hAnsi="黑体" w:eastAsia="黑体"/>
          <w:color w:val="000000" w:themeColor="text1"/>
          <w:sz w:val="32"/>
          <w:szCs w:val="32"/>
          <w14:textFill>
            <w14:solidFill>
              <w14:schemeClr w14:val="tx1"/>
            </w14:solidFill>
          </w14:textFill>
        </w:rPr>
        <w:t>黄山学院逸夫图书馆公共区域出新工程</w:t>
      </w:r>
      <w:r>
        <w:rPr>
          <w:rFonts w:ascii="黑体" w:hAnsi="黑体" w:eastAsia="黑体"/>
          <w:color w:val="000000" w:themeColor="text1"/>
          <w:sz w:val="32"/>
          <w:szCs w:val="32"/>
          <w14:textFill>
            <w14:solidFill>
              <w14:schemeClr w14:val="tx1"/>
            </w14:solidFill>
          </w14:textFill>
        </w:rPr>
        <w:t>竞争性谈判公告</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Verdana" w:hAnsi="Verdana"/>
          <w:color w:val="000000" w:themeColor="text1"/>
          <w:szCs w:val="21"/>
          <w14:textFill>
            <w14:solidFill>
              <w14:schemeClr w14:val="tx1"/>
            </w14:solidFill>
          </w14:textFill>
        </w:rPr>
        <w:t xml:space="preserve"> </w:t>
      </w:r>
      <w:permStart w:id="2" w:edGrp="everyone"/>
      <w:r>
        <w:rPr>
          <w:rFonts w:hint="eastAsia" w:ascii="宋体" w:hAnsi="宋体"/>
          <w:color w:val="000000" w:themeColor="text1"/>
          <w:szCs w:val="21"/>
          <w:lang w:eastAsia="zh-CN"/>
          <w14:textFill>
            <w14:solidFill>
              <w14:schemeClr w14:val="tx1"/>
            </w14:solidFill>
          </w14:textFill>
        </w:rPr>
        <w:t>浙江兴业建设项目管理有限公司</w:t>
      </w:r>
      <w:r>
        <w:rPr>
          <w:rFonts w:hint="eastAsia" w:ascii="宋体" w:hAnsi="宋体"/>
          <w:color w:val="000000" w:themeColor="text1"/>
          <w:szCs w:val="21"/>
          <w14:textFill>
            <w14:solidFill>
              <w14:schemeClr w14:val="tx1"/>
            </w14:solidFill>
          </w14:textFill>
        </w:rPr>
        <w:t>受黄山学院的委托，现对黄山学院逸夫图书馆公共区域出新工程进行竞争性谈判，欢迎具备条件的国内投标人参加谈判。</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一、项目名称及内容</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1、项目编号：HSXYFS-2018-00</w:t>
      </w:r>
      <w:r>
        <w:rPr>
          <w:rFonts w:hint="eastAsia" w:ascii="宋体" w:hAnsi="宋体"/>
          <w:color w:val="000000" w:themeColor="text1"/>
          <w:szCs w:val="21"/>
          <w:lang w:val="en-US" w:eastAsia="zh-CN"/>
          <w14:textFill>
            <w14:solidFill>
              <w14:schemeClr w14:val="tx1"/>
            </w14:solidFill>
          </w14:textFill>
        </w:rPr>
        <w:t xml:space="preserve">9 </w:t>
      </w:r>
      <w:r>
        <w:rPr>
          <w:rFonts w:hint="eastAsia" w:ascii="宋体" w:hAnsi="宋体"/>
          <w:color w:val="000000" w:themeColor="text1"/>
          <w:szCs w:val="21"/>
          <w14:textFill>
            <w14:solidFill>
              <w14:schemeClr w14:val="tx1"/>
            </w14:solidFill>
          </w14:textFill>
        </w:rPr>
        <w:t xml:space="preserve">  </w:t>
      </w:r>
    </w:p>
    <w:p>
      <w:pPr>
        <w:widowControl/>
        <w:shd w:val="clear" w:color="auto" w:fill="FFFFFF"/>
        <w:spacing w:line="660" w:lineRule="exact"/>
        <w:ind w:left="315" w:hanging="315" w:hangingChars="1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2、项目名称：黄山学院逸夫图书馆公共区域出新工程</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3、项目单位：黄山学院 </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4、资金来源：省财政资金</w:t>
      </w:r>
    </w:p>
    <w:p>
      <w:pPr>
        <w:widowControl/>
        <w:shd w:val="clear" w:color="auto" w:fill="FFFFFF"/>
        <w:spacing w:line="660" w:lineRule="exact"/>
        <w:ind w:firstLine="645"/>
        <w:jc w:val="lef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5、项目预算：318809.5</w:t>
      </w:r>
      <w:r>
        <w:rPr>
          <w:rFonts w:hint="eastAsia" w:ascii="宋体" w:hAnsi="宋体"/>
          <w:color w:val="000000" w:themeColor="text1"/>
          <w:szCs w:val="21"/>
          <w:lang w:eastAsia="zh-CN"/>
          <w14:textFill>
            <w14:solidFill>
              <w14:schemeClr w14:val="tx1"/>
            </w14:solidFill>
          </w14:textFill>
        </w:rPr>
        <w:t>元</w:t>
      </w:r>
    </w:p>
    <w:p>
      <w:pPr>
        <w:widowControl/>
        <w:shd w:val="clear" w:color="auto" w:fill="FFFFFF"/>
        <w:spacing w:line="660" w:lineRule="exact"/>
        <w:ind w:firstLine="645"/>
        <w:jc w:val="lef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lang w:eastAsia="zh-CN"/>
          <w14:textFill>
            <w14:solidFill>
              <w14:schemeClr w14:val="tx1"/>
            </w14:solidFill>
          </w14:textFill>
        </w:rPr>
        <w:t>、工期：20日历天</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、标段（包别）划分：1个包</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二、投标人资格</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1、投标人须具备建设行政主管部门核发的建筑装修装饰工程专业承包二级及以上资质的独立法人，且注册资本金满足项目谈判要求，在人员、设备、资金等方面具有承担本项目施工的能力；</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2、项目经理须是具有建筑工程专业二级及以上资质的注册建造师；</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3、本项目不接受联合体谈判；</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pacing w:val="-4"/>
          <w:szCs w:val="21"/>
          <w14:textFill>
            <w14:solidFill>
              <w14:schemeClr w14:val="tx1"/>
            </w14:solidFill>
          </w14:textFill>
        </w:rPr>
        <w:t>投标人存在以下不良信用记录情形之一的，不得推荐为成交候选投标人，不得确定为成交投标人：</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（1）投标人被人民法院列入失信被执行人的；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（2）投标人或其法定代表人或拟派项目经理（项目负责人）被人民检察院列入行贿犯罪档案的；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（3）投标人被工商行政管理部门列入企业经营异常名录的；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（4）投标人被税务部门列入重大税收违法案件当事人名单的；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（5）投标人被政府采购监管部门列入政府采购严重违法失信行为记录名单的。</w:t>
      </w:r>
    </w:p>
    <w:p>
      <w:pPr>
        <w:spacing w:line="540" w:lineRule="exact"/>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以上情形第（1）（3）（4）（5）以“信用中国”（</w:t>
      </w:r>
      <w:r>
        <w:rPr>
          <w:color w:val="000000" w:themeColor="text1"/>
          <w14:textFill>
            <w14:solidFill>
              <w14:schemeClr w14:val="tx1"/>
            </w14:solidFill>
          </w14:textFill>
        </w:rPr>
        <w:t>http://www.creditchina.gov.cn</w:t>
      </w:r>
      <w:r>
        <w:rPr>
          <w:rFonts w:hint="eastAsia"/>
          <w:color w:val="000000" w:themeColor="text1"/>
          <w14:textFill>
            <w14:solidFill>
              <w14:schemeClr w14:val="tx1"/>
            </w14:solidFill>
          </w14:textFill>
        </w:rPr>
        <w:t>）或其他指定媒介[国家税务总局网站（</w:t>
      </w:r>
      <w:r>
        <w:rPr>
          <w:color w:val="000000" w:themeColor="text1"/>
          <w14:textFill>
            <w14:solidFill>
              <w14:schemeClr w14:val="tx1"/>
            </w14:solidFill>
          </w14:textFill>
        </w:rPr>
        <w:t>www.chinatax.gov.cn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）、最高人民法院网站（</w:t>
      </w:r>
      <w:r>
        <w:rPr>
          <w:color w:val="000000" w:themeColor="text1"/>
          <w14:textFill>
            <w14:solidFill>
              <w14:schemeClr w14:val="tx1"/>
            </w14:solidFill>
          </w14:textFill>
        </w:rPr>
        <w:t>www.court.gov.cn</w:t>
      </w:r>
      <w:r>
        <w:rPr>
          <w:rFonts w:hint="eastAsia"/>
          <w:color w:val="000000" w:themeColor="text1"/>
          <w14:textFill>
            <w14:solidFill>
              <w14:schemeClr w14:val="tx1"/>
            </w14:solidFill>
          </w14:textFill>
        </w:rPr>
        <w:t>）、国家企业信用信息公示系统网站（</w:t>
      </w:r>
      <w:r>
        <w:rPr>
          <w:color w:val="000000" w:themeColor="text1"/>
          <w14:textFill>
            <w14:solidFill>
              <w14:schemeClr w14:val="tx1"/>
            </w14:solidFill>
          </w14:textFill>
        </w:rPr>
        <w:t>www.gsxt.gov.cn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布的为准，有限制期限的按规定期限执行，无限制期限的按投标截止时间前6个月计算。由代理机构在推荐成交候选人前对拟推荐的成交候选人进行查询并将结果反馈至评审小组。第（2）项在资格性审查时进行评审。</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三、报名及谈判文件发售办法</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1、谈判文件发售时间：2018年7月</w:t>
      </w:r>
      <w:r>
        <w:rPr>
          <w:rFonts w:hint="eastAsia" w:ascii="宋体" w:hAnsi="宋体"/>
          <w:color w:val="000000" w:themeColor="text1"/>
          <w:szCs w:val="21"/>
          <w:lang w:val="en-US" w:eastAsia="zh-CN"/>
          <w14:textFill>
            <w14:solidFill>
              <w14:schemeClr w14:val="tx1"/>
            </w14:solidFill>
          </w14:textFill>
        </w:rPr>
        <w:t>27</w:t>
      </w:r>
      <w:r>
        <w:rPr>
          <w:rFonts w:hint="eastAsia" w:ascii="宋体" w:hAnsi="宋体"/>
          <w:color w:val="000000" w:themeColor="text1"/>
          <w:szCs w:val="21"/>
          <w14:textFill>
            <w14:solidFill>
              <w14:schemeClr w14:val="tx1"/>
            </w14:solidFill>
          </w14:textFill>
        </w:rPr>
        <w:t>日9时至2018年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日17:30时；</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、报名方式：凡有意参加投标者，请于2018年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27 </w:t>
      </w:r>
      <w:r>
        <w:rPr>
          <w:rFonts w:hint="eastAsia" w:ascii="宋体" w:hAnsi="宋体"/>
          <w:color w:val="000000" w:themeColor="text1"/>
          <w:szCs w:val="21"/>
          <w14:textFill>
            <w14:solidFill>
              <w14:schemeClr w14:val="tx1"/>
            </w14:solidFill>
          </w14:textFill>
        </w:rPr>
        <w:t>日9时至2018年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日17:30 时（北京时间），携带单位介绍信、营业执照、资质证书、项目经理(注册建造师)注册证书等资料到浙江兴业建设项目管理有限公司（黄山市屯溪区利港尚公馆2号楼11层1107室）报名并购买谈判文件。（备注：所有资料报名时须提供复印件加盖单位公章）。</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四、谈判时间及地点</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1、谈判时间：2018年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日1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时</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0分</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2、谈判地点</w:t>
      </w:r>
      <w:r>
        <w:rPr>
          <w:rFonts w:hint="eastAsia" w:ascii="宋体" w:hAnsi="宋体"/>
          <w:color w:val="000000" w:themeColor="text1"/>
          <w:szCs w:val="21"/>
          <w:lang w:eastAsia="zh-CN"/>
          <w14:textFill>
            <w14:solidFill>
              <w14:schemeClr w14:val="tx1"/>
            </w14:solidFill>
          </w14:textFill>
        </w:rPr>
        <w:t>：</w:t>
      </w:r>
      <w:r>
        <w:rPr>
          <w:rFonts w:hint="eastAsia"/>
          <w:b w:val="0"/>
          <w:bCs w:val="0"/>
          <w:lang w:eastAsia="zh-CN"/>
        </w:rPr>
        <w:t>浙江兴业建设项目管理有限公司（黄山市屯溪区利港尚公馆</w:t>
      </w:r>
      <w:r>
        <w:rPr>
          <w:rFonts w:hint="eastAsia"/>
          <w:b w:val="0"/>
          <w:bCs w:val="0"/>
          <w:lang w:val="en-US" w:eastAsia="zh-CN"/>
        </w:rPr>
        <w:t>2号楼11层1107室</w:t>
      </w:r>
      <w:r>
        <w:rPr>
          <w:rFonts w:hint="eastAsia"/>
          <w:b w:val="0"/>
          <w:bCs w:val="0"/>
          <w:lang w:eastAsia="zh-CN"/>
        </w:rPr>
        <w:t>）</w:t>
      </w:r>
      <w:r>
        <w:rPr>
          <w:rFonts w:ascii="宋体" w:hAnsi="宋体"/>
          <w:color w:val="000000" w:themeColor="text1"/>
          <w:szCs w:val="21"/>
          <w14:textFill>
            <w14:solidFill>
              <w14:schemeClr w14:val="tx1"/>
            </w14:solidFill>
          </w14:textFill>
        </w:rPr>
        <w:t>。</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五、响应文件提交截止时间</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同谈判时间</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六：联系方法</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（一）项目单位：黄山学院</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地址：安徽省黄山市屯溪区西海路39号</w:t>
      </w:r>
    </w:p>
    <w:p>
      <w:pPr>
        <w:widowControl/>
        <w:shd w:val="clear" w:color="auto" w:fill="FFFFFF"/>
        <w:spacing w:line="660" w:lineRule="exact"/>
        <w:ind w:firstLine="645"/>
        <w:jc w:val="left"/>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eastAsia="zh-CN"/>
          <w14:textFill>
            <w14:solidFill>
              <w14:schemeClr w14:val="tx1"/>
            </w14:solidFill>
          </w14:textFill>
        </w:rPr>
        <w:t>丁老师</w:t>
      </w:r>
    </w:p>
    <w:p>
      <w:pPr>
        <w:widowControl/>
        <w:shd w:val="clear" w:color="auto" w:fill="FFFFFF"/>
        <w:spacing w:line="660" w:lineRule="exact"/>
        <w:ind w:firstLine="645"/>
        <w:jc w:val="left"/>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bookmarkStart w:id="619" w:name="_GoBack"/>
      <w:r>
        <w:rPr>
          <w:rFonts w:hint="eastAsia" w:ascii="宋体" w:hAnsi="宋体"/>
          <w:color w:val="000000" w:themeColor="text1"/>
          <w:szCs w:val="21"/>
          <w:lang w:val="en-US" w:eastAsia="zh-CN"/>
          <w14:textFill>
            <w14:solidFill>
              <w14:schemeClr w14:val="tx1"/>
            </w14:solidFill>
          </w14:textFill>
        </w:rPr>
        <w:t>0559-2546559</w:t>
      </w:r>
      <w:bookmarkEnd w:id="619"/>
    </w:p>
    <w:p>
      <w:pPr>
        <w:widowControl/>
        <w:numPr>
          <w:ilvl w:val="0"/>
          <w:numId w:val="2"/>
        </w:numPr>
        <w:shd w:val="clear" w:color="auto" w:fill="FFFFFF"/>
        <w:spacing w:line="660" w:lineRule="exact"/>
        <w:ind w:firstLine="645"/>
        <w:jc w:val="left"/>
        <w:rPr>
          <w:rFonts w:hint="eastAsia"/>
          <w:b w:val="0"/>
          <w:bCs w:val="0"/>
          <w:lang w:eastAsia="zh-CN"/>
        </w:rPr>
      </w:pPr>
      <w:r>
        <w:rPr>
          <w:rFonts w:hint="eastAsia" w:ascii="宋体" w:hAnsi="宋体"/>
          <w:color w:val="000000" w:themeColor="text1"/>
          <w:szCs w:val="21"/>
          <w14:textFill>
            <w14:solidFill>
              <w14:schemeClr w14:val="tx1"/>
            </w14:solidFill>
          </w14:textFill>
        </w:rPr>
        <w:t>招标代理机构：</w:t>
      </w:r>
      <w:r>
        <w:rPr>
          <w:rFonts w:hint="eastAsia"/>
          <w:b w:val="0"/>
          <w:bCs w:val="0"/>
          <w:lang w:eastAsia="zh-CN"/>
        </w:rPr>
        <w:t>浙江兴业建设项目管理有限公司</w:t>
      </w:r>
    </w:p>
    <w:p>
      <w:pPr>
        <w:widowControl/>
        <w:numPr>
          <w:ilvl w:val="0"/>
          <w:numId w:val="0"/>
        </w:numPr>
        <w:shd w:val="clear" w:color="auto" w:fill="FFFFFF"/>
        <w:spacing w:line="660" w:lineRule="exact"/>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地址：黄山市屯溪区利港尚公馆2号楼11层1107室</w:t>
      </w:r>
    </w:p>
    <w:p>
      <w:pPr>
        <w:widowControl/>
        <w:shd w:val="clear" w:color="auto" w:fill="FFFFFF"/>
        <w:spacing w:line="660" w:lineRule="exact"/>
        <w:ind w:firstLine="645"/>
        <w:jc w:val="left"/>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eastAsia="zh-CN"/>
          <w14:textFill>
            <w14:solidFill>
              <w14:schemeClr w14:val="tx1"/>
            </w14:solidFill>
          </w14:textFill>
        </w:rPr>
        <w:t>叶工</w:t>
      </w:r>
    </w:p>
    <w:p>
      <w:pPr>
        <w:widowControl/>
        <w:shd w:val="clear" w:color="auto" w:fill="FFFFFF"/>
        <w:spacing w:line="660" w:lineRule="exact"/>
        <w:ind w:firstLine="645"/>
        <w:jc w:val="left"/>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电话：0559</w:t>
      </w:r>
      <w:r>
        <w:rPr>
          <w:rFonts w:hint="eastAsia" w:ascii="宋体" w:hAnsi="宋体"/>
          <w:color w:val="000000" w:themeColor="text1"/>
          <w:szCs w:val="21"/>
          <w:lang w:val="en-US" w:eastAsia="zh-CN"/>
          <w14:textFill>
            <w14:solidFill>
              <w14:schemeClr w14:val="tx1"/>
            </w14:solidFill>
          </w14:textFill>
        </w:rPr>
        <w:t>-2324200</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七、其它事项说明</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1、本项目需落实的节能环保、中小微型企业扶持等相关政府采购政策详见谈判文件。</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八、谈判保证金缴纳账户</w:t>
      </w:r>
    </w:p>
    <w:p>
      <w:pPr>
        <w:widowControl/>
        <w:shd w:val="clear" w:color="auto" w:fill="FFFFFF"/>
        <w:spacing w:line="660" w:lineRule="exact"/>
        <w:ind w:left="405" w:firstLine="315"/>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户</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名</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widowControl/>
        <w:shd w:val="clear" w:color="auto" w:fill="FFFFFF"/>
        <w:spacing w:line="660" w:lineRule="exact"/>
        <w:ind w:left="405" w:firstLine="315"/>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账</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spacing w:line="480" w:lineRule="exact"/>
        <w:ind w:firstLine="735" w:firstLineChars="3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w:t>
      </w: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ermEnd w:id="2"/>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rPr>
          <w:rFonts w:ascii="Verdana" w:hAnsi="Verdana"/>
          <w:color w:val="000000" w:themeColor="text1"/>
          <w:szCs w:val="21"/>
          <w14:textFill>
            <w14:solidFill>
              <w14:schemeClr w14:val="tx1"/>
            </w14:solidFill>
          </w14:textFill>
        </w:rPr>
      </w:pPr>
    </w:p>
    <w:p>
      <w:pPr>
        <w:spacing w:line="480" w:lineRule="exact"/>
        <w:rPr>
          <w:rFonts w:ascii="Verdana" w:hAnsi="Verdana"/>
          <w:color w:val="000000" w:themeColor="text1"/>
          <w:szCs w:val="21"/>
          <w14:textFill>
            <w14:solidFill>
              <w14:schemeClr w14:val="tx1"/>
            </w14:solidFill>
          </w14:textFill>
        </w:rPr>
      </w:pPr>
    </w:p>
    <w:p>
      <w:pPr>
        <w:pStyle w:val="116"/>
        <w:spacing w:before="0" w:after="0"/>
        <w:rPr>
          <w:color w:val="000000" w:themeColor="text1"/>
          <w14:textFill>
            <w14:solidFill>
              <w14:schemeClr w14:val="tx1"/>
            </w14:solidFill>
          </w14:textFill>
        </w:rPr>
      </w:pPr>
      <w:bookmarkStart w:id="5" w:name="_Toc488157395"/>
      <w:bookmarkStart w:id="6" w:name="_Toc482821788"/>
      <w:bookmarkStart w:id="7" w:name="_Toc518654904"/>
      <w:r>
        <w:rPr>
          <w:rFonts w:hint="eastAsia"/>
          <w:color w:val="000000" w:themeColor="text1"/>
          <w14:textFill>
            <w14:solidFill>
              <w14:schemeClr w14:val="tx1"/>
            </w14:solidFill>
          </w14:textFill>
        </w:rPr>
        <w:t xml:space="preserve">第二章 </w:t>
      </w:r>
      <w:bookmarkEnd w:id="4"/>
      <w:bookmarkEnd w:id="5"/>
      <w:bookmarkEnd w:id="6"/>
      <w:r>
        <w:rPr>
          <w:rFonts w:hint="eastAsia"/>
          <w:color w:val="000000" w:themeColor="text1"/>
          <w14:textFill>
            <w14:solidFill>
              <w14:schemeClr w14:val="tx1"/>
            </w14:solidFill>
          </w14:textFill>
        </w:rPr>
        <w:t>投标人须知前附表</w:t>
      </w:r>
      <w:bookmarkEnd w:id="7"/>
    </w:p>
    <w:tbl>
      <w:tblPr>
        <w:tblStyle w:val="59"/>
        <w:tblW w:w="9830" w:type="dxa"/>
        <w:jc w:val="center"/>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56" w:type="dxa"/>
            <w:vAlign w:val="center"/>
          </w:tcPr>
          <w:p>
            <w:pPr>
              <w:spacing w:line="360" w:lineRule="auto"/>
              <w:jc w:val="center"/>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序号</w:t>
            </w:r>
          </w:p>
        </w:tc>
        <w:tc>
          <w:tcPr>
            <w:tcW w:w="9074" w:type="dxa"/>
            <w:vAlign w:val="center"/>
          </w:tcPr>
          <w:p>
            <w:pPr>
              <w:spacing w:line="360" w:lineRule="auto"/>
              <w:jc w:val="center"/>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p>
        </w:tc>
        <w:tc>
          <w:tcPr>
            <w:tcW w:w="9074" w:type="dxa"/>
            <w:vAlign w:val="center"/>
          </w:tcPr>
          <w:p>
            <w:pPr>
              <w:spacing w:line="400" w:lineRule="exact"/>
              <w:ind w:left="-3" w:firstLine="3"/>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项目名称：</w:t>
            </w:r>
            <w:r>
              <w:rPr>
                <w:rFonts w:hint="eastAsia" w:ascii="宋体" w:hAnsi="宋体" w:cs="Arial"/>
                <w:color w:val="000000" w:themeColor="text1"/>
                <w:szCs w:val="21"/>
                <w14:textFill>
                  <w14:solidFill>
                    <w14:schemeClr w14:val="tx1"/>
                  </w14:solidFill>
                </w14:textFill>
              </w:rPr>
              <w:t>详见竞争性谈判公告</w:t>
            </w:r>
          </w:p>
          <w:p>
            <w:pPr>
              <w:spacing w:line="4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项目编号</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详见竞争性谈判公告</w:t>
            </w:r>
          </w:p>
          <w:p>
            <w:pPr>
              <w:spacing w:line="4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采购内容及预算：详见竞争性谈判公告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6" w:type="dxa"/>
            <w:vAlign w:val="center"/>
          </w:tcPr>
          <w:p>
            <w:pPr>
              <w:spacing w:line="360" w:lineRule="auto"/>
              <w:ind w:right="102"/>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p>
        </w:tc>
        <w:tc>
          <w:tcPr>
            <w:tcW w:w="9074" w:type="dxa"/>
            <w:vAlign w:val="center"/>
          </w:tcPr>
          <w:p>
            <w:pPr>
              <w:spacing w:line="400" w:lineRule="exact"/>
              <w:ind w:left="-6" w:firstLine="6"/>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项目单位</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详见竞争性谈判公告</w:t>
            </w:r>
          </w:p>
          <w:p>
            <w:pPr>
              <w:spacing w:line="400" w:lineRule="exact"/>
              <w:ind w:left="-6" w:firstLine="6"/>
              <w:rPr>
                <w:rFonts w:ascii="宋体" w:hAnsi="宋体" w:cs="Arial"/>
                <w:color w:val="000000" w:themeColor="text1"/>
                <w:szCs w:val="21"/>
                <w:u w:val="single"/>
                <w14:textFill>
                  <w14:solidFill>
                    <w14:schemeClr w14:val="tx1"/>
                  </w14:solidFill>
                </w14:textFill>
              </w:rPr>
            </w:pPr>
            <w:r>
              <w:rPr>
                <w:rFonts w:hint="eastAsia" w:ascii="宋体" w:hAnsi="宋体" w:cs="Arial"/>
                <w:color w:val="000000" w:themeColor="text1"/>
                <w:szCs w:val="21"/>
                <w14:textFill>
                  <w14:solidFill>
                    <w14:schemeClr w14:val="tx1"/>
                  </w14:solidFill>
                </w14:textFill>
              </w:rPr>
              <w:t>地址：详见竞争性谈判公告</w:t>
            </w:r>
          </w:p>
          <w:p>
            <w:pPr>
              <w:spacing w:line="400" w:lineRule="exact"/>
              <w:ind w:left="-6" w:firstLine="6"/>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vAlign w:val="center"/>
          </w:tcPr>
          <w:p>
            <w:pPr>
              <w:spacing w:line="360" w:lineRule="auto"/>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w:t>
            </w:r>
          </w:p>
        </w:tc>
        <w:tc>
          <w:tcPr>
            <w:tcW w:w="9074" w:type="dxa"/>
            <w:vAlign w:val="center"/>
          </w:tcPr>
          <w:p>
            <w:pPr>
              <w:spacing w:line="400" w:lineRule="exact"/>
              <w:ind w:left="-3" w:firstLine="3"/>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代理</w:t>
            </w:r>
            <w:r>
              <w:rPr>
                <w:rFonts w:ascii="宋体" w:hAnsi="宋体" w:cs="Arial"/>
                <w:color w:val="000000" w:themeColor="text1"/>
                <w:szCs w:val="21"/>
                <w14:textFill>
                  <w14:solidFill>
                    <w14:schemeClr w14:val="tx1"/>
                  </w14:solidFill>
                </w14:textFill>
              </w:rPr>
              <w:t>机构：</w:t>
            </w:r>
            <w:r>
              <w:rPr>
                <w:rFonts w:hint="eastAsia" w:ascii="宋体" w:hAnsi="宋体" w:cs="Arial"/>
                <w:color w:val="000000" w:themeColor="text1"/>
                <w:szCs w:val="21"/>
                <w14:textFill>
                  <w14:solidFill>
                    <w14:schemeClr w14:val="tx1"/>
                  </w14:solidFill>
                </w14:textFill>
              </w:rPr>
              <w:t>详见竞争性谈判公告</w:t>
            </w:r>
          </w:p>
          <w:p>
            <w:pPr>
              <w:spacing w:line="400" w:lineRule="exact"/>
              <w:ind w:left="1887" w:hanging="188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代理</w:t>
            </w:r>
            <w:r>
              <w:rPr>
                <w:rFonts w:ascii="宋体" w:hAnsi="宋体" w:cs="Arial"/>
                <w:color w:val="000000" w:themeColor="text1"/>
                <w:szCs w:val="21"/>
                <w14:textFill>
                  <w14:solidFill>
                    <w14:schemeClr w14:val="tx1"/>
                  </w14:solidFill>
                </w14:textFill>
              </w:rPr>
              <w:t>机构地址：</w:t>
            </w:r>
            <w:r>
              <w:rPr>
                <w:rFonts w:hint="eastAsia" w:ascii="宋体" w:hAnsi="宋体" w:cs="Arial"/>
                <w:color w:val="000000" w:themeColor="text1"/>
                <w:szCs w:val="21"/>
                <w14:textFill>
                  <w14:solidFill>
                    <w14:schemeClr w14:val="tx1"/>
                  </w14:solidFill>
                </w14:textFill>
              </w:rPr>
              <w:t>详见竞争性谈判公告</w:t>
            </w:r>
          </w:p>
          <w:p>
            <w:pPr>
              <w:spacing w:line="400" w:lineRule="exact"/>
              <w:ind w:left="1887" w:hanging="1887"/>
              <w:rPr>
                <w:rFonts w:ascii="宋体" w:hAnsi="宋体" w:cs="Arial"/>
                <w:color w:val="000000" w:themeColor="text1"/>
                <w:szCs w:val="21"/>
                <w:u w:val="single"/>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联系人及联系方式：详见竞争性谈判公告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56" w:type="dxa"/>
            <w:vAlign w:val="center"/>
          </w:tcPr>
          <w:p>
            <w:pPr>
              <w:spacing w:line="360" w:lineRule="auto"/>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w:t>
            </w:r>
          </w:p>
        </w:tc>
        <w:tc>
          <w:tcPr>
            <w:tcW w:w="9074" w:type="dxa"/>
            <w:vAlign w:val="center"/>
          </w:tcPr>
          <w:p>
            <w:pPr>
              <w:spacing w:line="400" w:lineRule="exact"/>
              <w:ind w:left="-3" w:firstLine="3"/>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本项目类别：</w:t>
            </w:r>
            <w:permStart w:id="3" w:edGrp="everyone"/>
            <w:r>
              <w:rPr>
                <w:rFonts w:hint="eastAsia" w:ascii="宋体" w:hAnsi="宋体" w:cs="Arial"/>
                <w:color w:val="000000" w:themeColor="text1"/>
                <w:szCs w:val="21"/>
                <w14:textFill>
                  <w14:solidFill>
                    <w14:schemeClr w14:val="tx1"/>
                  </w14:solidFill>
                </w14:textFill>
              </w:rPr>
              <w:t>工程类</w:t>
            </w:r>
            <w:perm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w:t>
            </w:r>
            <w:r>
              <w:rPr>
                <w:rFonts w:ascii="宋体" w:hAnsi="宋体" w:cs="Arial"/>
                <w:color w:val="000000" w:themeColor="text1"/>
                <w:szCs w:val="21"/>
                <w14:textFill>
                  <w14:solidFill>
                    <w14:schemeClr w14:val="tx1"/>
                  </w14:solidFill>
                </w14:textFill>
              </w:rPr>
              <w:t>有效期：</w:t>
            </w:r>
            <w:r>
              <w:rPr>
                <w:rFonts w:hint="eastAsia" w:ascii="宋体" w:hAnsi="宋体" w:cs="Arial"/>
                <w:color w:val="000000" w:themeColor="text1"/>
                <w:szCs w:val="21"/>
                <w14:textFill>
                  <w14:solidFill>
                    <w14:schemeClr w14:val="tx1"/>
                  </w14:solidFill>
                </w14:textFill>
              </w:rPr>
              <w:t>谈判开始</w:t>
            </w:r>
            <w:r>
              <w:rPr>
                <w:rFonts w:ascii="宋体" w:hAnsi="宋体" w:cs="Arial"/>
                <w:color w:val="000000" w:themeColor="text1"/>
                <w:szCs w:val="21"/>
                <w14:textFill>
                  <w14:solidFill>
                    <w14:schemeClr w14:val="tx1"/>
                  </w14:solidFill>
                </w14:textFill>
              </w:rPr>
              <w:t>后</w:t>
            </w:r>
            <w:permStart w:id="4" w:edGrp="everyone"/>
            <w:r>
              <w:rPr>
                <w:rFonts w:hint="eastAsia" w:ascii="宋体" w:hAnsi="宋体" w:cs="Arial"/>
                <w:color w:val="000000" w:themeColor="text1"/>
                <w:szCs w:val="21"/>
                <w14:textFill>
                  <w14:solidFill>
                    <w14:schemeClr w14:val="tx1"/>
                  </w14:solidFill>
                </w14:textFill>
              </w:rPr>
              <w:t>60</w:t>
            </w:r>
            <w:permEnd w:id="4"/>
            <w:r>
              <w:rPr>
                <w:rFonts w:ascii="宋体" w:hAnsi="宋体" w:cs="Arial"/>
                <w:color w:val="000000" w:themeColor="text1"/>
                <w:szCs w:val="21"/>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成交人个数：</w:t>
            </w:r>
            <w:permStart w:id="5" w:edGrp="everyone"/>
            <w:r>
              <w:rPr>
                <w:rFonts w:hint="eastAsia" w:ascii="宋体" w:hAnsi="宋体" w:cs="Arial"/>
                <w:color w:val="000000" w:themeColor="text1"/>
                <w:szCs w:val="21"/>
                <w14:textFill>
                  <w14:solidFill>
                    <w14:schemeClr w14:val="tx1"/>
                  </w14:solidFill>
                </w14:textFill>
              </w:rPr>
              <w:t xml:space="preserve">1个  </w:t>
            </w:r>
            <w:permEnd w:id="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7</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竞争性谈判文件的澄清</w:t>
            </w:r>
            <w:r>
              <w:rPr>
                <w:rFonts w:hint="eastAsia" w:ascii="宋体" w:hAnsi="宋体" w:cs="Arial"/>
                <w:color w:val="000000" w:themeColor="text1"/>
                <w:szCs w:val="21"/>
                <w14:textFill>
                  <w14:solidFill>
                    <w14:schemeClr w14:val="tx1"/>
                  </w14:solidFill>
                </w14:textFill>
              </w:rPr>
              <w:t>和修改：详见第五章投标人须知第11条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8</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竞争性谈判文件的</w:t>
            </w:r>
            <w:r>
              <w:rPr>
                <w:rFonts w:hint="eastAsia" w:ascii="宋体" w:hAnsi="宋体"/>
                <w:bCs/>
                <w:color w:val="000000" w:themeColor="text1"/>
                <w14:textFill>
                  <w14:solidFill>
                    <w14:schemeClr w14:val="tx1"/>
                  </w14:solidFill>
                </w14:textFill>
              </w:rPr>
              <w:t>质疑和答复：</w:t>
            </w:r>
            <w:r>
              <w:rPr>
                <w:rFonts w:hint="eastAsia" w:ascii="宋体" w:hAnsi="宋体" w:cs="Arial"/>
                <w:color w:val="000000" w:themeColor="text1"/>
                <w:szCs w:val="21"/>
                <w14:textFill>
                  <w14:solidFill>
                    <w14:schemeClr w14:val="tx1"/>
                  </w14:solidFill>
                </w14:textFill>
              </w:rPr>
              <w:t>详见第五章投标人须知第12条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9</w:t>
            </w:r>
          </w:p>
        </w:tc>
        <w:tc>
          <w:tcPr>
            <w:tcW w:w="9074" w:type="dxa"/>
            <w:vAlign w:val="center"/>
          </w:tcPr>
          <w:p>
            <w:pPr>
              <w:spacing w:line="3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谈判响应文件递交截止时间：详见竞争性谈判公告</w:t>
            </w:r>
          </w:p>
          <w:p>
            <w:pPr>
              <w:spacing w:line="3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递交地点：详见竞争性谈判公告</w:t>
            </w:r>
          </w:p>
          <w:p>
            <w:pPr>
              <w:spacing w:line="3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谈判开始时间：详见竞争性谈判公告</w:t>
            </w:r>
          </w:p>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地点：</w:t>
            </w:r>
            <w:r>
              <w:rPr>
                <w:rFonts w:hint="eastAsia" w:ascii="宋体" w:hAnsi="宋体" w:cs="Arial"/>
                <w:color w:val="000000" w:themeColor="text1"/>
                <w:szCs w:val="21"/>
                <w14:textFill>
                  <w14:solidFill>
                    <w14:schemeClr w14:val="tx1"/>
                  </w14:solidFill>
                </w14:textFill>
              </w:rPr>
              <w:t>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10</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评审方法：详见第五章投标人须知第22、23条和本文件第四章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permStart w:id="6" w:edGrp="everyone"/>
            <w:r>
              <w:rPr>
                <w:rFonts w:hint="eastAsia" w:ascii="宋体" w:hAnsi="宋体" w:cs="Arial"/>
                <w:color w:val="000000" w:themeColor="text1"/>
                <w:szCs w:val="21"/>
                <w14:textFill>
                  <w14:solidFill>
                    <w14:schemeClr w14:val="tx1"/>
                  </w14:solidFill>
                </w14:textFill>
              </w:rPr>
              <w:t>工程实施提供</w:t>
            </w:r>
            <w:r>
              <w:rPr>
                <w:rFonts w:ascii="宋体" w:hAnsi="宋体" w:cs="Arial"/>
                <w:color w:val="000000" w:themeColor="text1"/>
                <w:szCs w:val="21"/>
                <w14:textFill>
                  <w14:solidFill>
                    <w14:schemeClr w14:val="tx1"/>
                  </w14:solidFill>
                </w14:textFill>
              </w:rPr>
              <w:t>地点：</w:t>
            </w:r>
            <w:r>
              <w:rPr>
                <w:rFonts w:hint="eastAsia" w:ascii="宋体" w:hAnsi="宋体" w:cs="Arial"/>
                <w:color w:val="000000" w:themeColor="text1"/>
                <w:szCs w:val="21"/>
                <w14:textFill>
                  <w14:solidFill>
                    <w14:schemeClr w14:val="tx1"/>
                  </w14:solidFill>
                </w14:textFill>
              </w:rPr>
              <w:t>采购人指定地点</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谈判响应文件份数：</w:t>
            </w:r>
            <w:permStart w:id="7" w:edGrp="everyone"/>
            <w:r>
              <w:rPr>
                <w:rFonts w:hint="eastAsia" w:ascii="宋体" w:hAnsi="宋体" w:cs="Arial"/>
                <w:color w:val="000000" w:themeColor="text1"/>
                <w:szCs w:val="21"/>
                <w14:textFill>
                  <w14:solidFill>
                    <w14:schemeClr w14:val="tx1"/>
                  </w14:solidFill>
                </w14:textFill>
              </w:rPr>
              <w:t xml:space="preserve">商务技术标  </w:t>
            </w:r>
            <w:r>
              <w:rPr>
                <w:rFonts w:ascii="宋体" w:hAnsi="宋体" w:cs="Arial"/>
                <w:color w:val="000000" w:themeColor="text1"/>
                <w:szCs w:val="21"/>
                <w14:textFill>
                  <w14:solidFill>
                    <w14:schemeClr w14:val="tx1"/>
                  </w14:solidFill>
                </w14:textFill>
              </w:rPr>
              <w:t>正本份数：</w:t>
            </w:r>
            <w:r>
              <w:rPr>
                <w:rFonts w:hint="eastAsia" w:ascii="宋体" w:hAnsi="宋体" w:cs="Arial"/>
                <w:color w:val="000000" w:themeColor="text1"/>
                <w:szCs w:val="21"/>
                <w14:textFill>
                  <w14:solidFill>
                    <w14:schemeClr w14:val="tx1"/>
                  </w14:solidFill>
                </w14:textFill>
              </w:rPr>
              <w:t>1</w:t>
            </w:r>
            <w:r>
              <w:rPr>
                <w:rFonts w:ascii="宋体" w:hAnsi="宋体" w:cs="Arial"/>
                <w:color w:val="000000" w:themeColor="text1"/>
                <w:szCs w:val="21"/>
                <w14:textFill>
                  <w14:solidFill>
                    <w14:schemeClr w14:val="tx1"/>
                  </w14:solidFill>
                </w14:textFill>
              </w:rPr>
              <w:t>份</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副本份数：</w:t>
            </w:r>
            <w:r>
              <w:rPr>
                <w:rFonts w:hint="eastAsia" w:ascii="宋体" w:hAnsi="宋体" w:cs="Arial"/>
                <w:color w:val="000000" w:themeColor="text1"/>
                <w:szCs w:val="21"/>
                <w14:textFill>
                  <w14:solidFill>
                    <w14:schemeClr w14:val="tx1"/>
                  </w14:solidFill>
                </w14:textFill>
              </w:rPr>
              <w:t>2</w:t>
            </w:r>
            <w:r>
              <w:rPr>
                <w:rFonts w:ascii="宋体" w:hAnsi="宋体" w:cs="Arial"/>
                <w:color w:val="000000" w:themeColor="text1"/>
                <w:szCs w:val="21"/>
                <w14:textFill>
                  <w14:solidFill>
                    <w14:schemeClr w14:val="tx1"/>
                  </w14:solidFill>
                </w14:textFill>
              </w:rPr>
              <w:t>份</w:t>
            </w:r>
          </w:p>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价格标  </w:t>
            </w:r>
            <w:r>
              <w:rPr>
                <w:rFonts w:ascii="宋体" w:hAnsi="宋体" w:cs="Arial"/>
                <w:color w:val="000000" w:themeColor="text1"/>
                <w:szCs w:val="21"/>
                <w14:textFill>
                  <w14:solidFill>
                    <w14:schemeClr w14:val="tx1"/>
                  </w14:solidFill>
                </w14:textFill>
              </w:rPr>
              <w:t>正本份数：</w:t>
            </w:r>
            <w:r>
              <w:rPr>
                <w:rFonts w:hint="eastAsia" w:ascii="宋体" w:hAnsi="宋体" w:cs="Arial"/>
                <w:color w:val="000000" w:themeColor="text1"/>
                <w:szCs w:val="21"/>
                <w14:textFill>
                  <w14:solidFill>
                    <w14:schemeClr w14:val="tx1"/>
                  </w14:solidFill>
                </w14:textFill>
              </w:rPr>
              <w:t>1</w:t>
            </w:r>
            <w:r>
              <w:rPr>
                <w:rFonts w:ascii="宋体" w:hAnsi="宋体" w:cs="Arial"/>
                <w:color w:val="000000" w:themeColor="text1"/>
                <w:szCs w:val="21"/>
                <w14:textFill>
                  <w14:solidFill>
                    <w14:schemeClr w14:val="tx1"/>
                  </w14:solidFill>
                </w14:textFill>
              </w:rPr>
              <w:t>份</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副本份数：</w:t>
            </w:r>
            <w:r>
              <w:rPr>
                <w:rFonts w:hint="eastAsia" w:ascii="宋体" w:hAnsi="宋体" w:cs="Arial"/>
                <w:color w:val="000000" w:themeColor="text1"/>
                <w:szCs w:val="21"/>
                <w14:textFill>
                  <w14:solidFill>
                    <w14:schemeClr w14:val="tx1"/>
                  </w14:solidFill>
                </w14:textFill>
              </w:rPr>
              <w:t>2</w:t>
            </w:r>
            <w:r>
              <w:rPr>
                <w:rFonts w:ascii="宋体" w:hAnsi="宋体" w:cs="Arial"/>
                <w:color w:val="000000" w:themeColor="text1"/>
                <w:szCs w:val="21"/>
                <w14:textFill>
                  <w14:solidFill>
                    <w14:schemeClr w14:val="tx1"/>
                  </w14:solidFill>
                </w14:textFill>
              </w:rPr>
              <w:t>份</w:t>
            </w:r>
            <w:permEnd w:id="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w:t>
            </w:r>
          </w:p>
        </w:tc>
        <w:tc>
          <w:tcPr>
            <w:tcW w:w="9074" w:type="dxa"/>
            <w:vAlign w:val="center"/>
          </w:tcPr>
          <w:p>
            <w:pPr>
              <w:pStyle w:val="30"/>
              <w:spacing w:line="360" w:lineRule="auto"/>
              <w:rPr>
                <w:rFonts w:ascii="宋体" w:hAnsi="宋体" w:eastAsia="宋体" w:cs="Arial"/>
                <w:color w:val="000000" w:themeColor="text1"/>
                <w:sz w:val="21"/>
                <w:szCs w:val="21"/>
                <w14:textFill>
                  <w14:solidFill>
                    <w14:schemeClr w14:val="tx1"/>
                  </w14:solidFill>
                </w14:textFill>
              </w:rPr>
            </w:pPr>
            <w:permStart w:id="8" w:edGrp="everyone"/>
            <w:r>
              <w:rPr>
                <w:rFonts w:ascii="宋体" w:hAnsi="宋体" w:eastAsia="宋体" w:cs="Arial"/>
                <w:color w:val="000000" w:themeColor="text1"/>
                <w:sz w:val="21"/>
                <w:szCs w:val="21"/>
                <w14:textFill>
                  <w14:solidFill>
                    <w14:schemeClr w14:val="tx1"/>
                  </w14:solidFill>
                </w14:textFill>
              </w:rPr>
              <w:t>签订合同地点：</w:t>
            </w:r>
            <w:r>
              <w:rPr>
                <w:rFonts w:hint="eastAsia" w:ascii="宋体" w:hAnsi="宋体" w:eastAsia="宋体" w:cs="Arial"/>
                <w:color w:val="000000" w:themeColor="text1"/>
                <w:sz w:val="21"/>
                <w:szCs w:val="21"/>
                <w14:textFill>
                  <w14:solidFill>
                    <w14:schemeClr w14:val="tx1"/>
                  </w14:solidFill>
                </w14:textFill>
              </w:rPr>
              <w:t>黄山学院</w:t>
            </w:r>
          </w:p>
          <w:p>
            <w:pPr>
              <w:rPr>
                <w:rFonts w:ascii="宋体" w:hAnsi="宋体" w:eastAsia="宋体" w:cs="Arial"/>
                <w:color w:val="000000" w:themeColor="text1"/>
                <w:szCs w:val="21"/>
                <w:lang w:bidi="he-IL"/>
                <w14:textFill>
                  <w14:solidFill>
                    <w14:schemeClr w14:val="tx1"/>
                  </w14:solidFill>
                </w14:textFill>
              </w:rPr>
            </w:pPr>
            <w:r>
              <w:rPr>
                <w:rFonts w:hint="eastAsia" w:ascii="宋体" w:hAnsi="宋体" w:eastAsia="宋体" w:cs="Arial"/>
                <w:color w:val="000000" w:themeColor="text1"/>
                <w:szCs w:val="21"/>
                <w:lang w:bidi="he-IL"/>
                <w14:textFill>
                  <w14:solidFill>
                    <w14:schemeClr w14:val="tx1"/>
                  </w14:solidFill>
                </w14:textFill>
              </w:rPr>
              <w:t>合同期限：</w:t>
            </w:r>
            <w:r>
              <w:rPr>
                <w:rFonts w:hint="eastAsia"/>
                <w:color w:val="000000" w:themeColor="text1"/>
                <w14:textFill>
                  <w14:solidFill>
                    <w14:schemeClr w14:val="tx1"/>
                  </w14:solidFill>
                </w14:textFill>
              </w:rPr>
              <w:t>自中标后10日内与采购人签订合同</w:t>
            </w:r>
            <w:perm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w:t>
            </w:r>
          </w:p>
        </w:tc>
        <w:tc>
          <w:tcPr>
            <w:tcW w:w="9074" w:type="dxa"/>
            <w:vAlign w:val="center"/>
          </w:tcPr>
          <w:p>
            <w:pPr>
              <w:spacing w:line="400" w:lineRule="exact"/>
              <w:rPr>
                <w:rFonts w:ascii="宋体" w:hAnsi="宋体" w:cs="Arial"/>
                <w:color w:val="000000" w:themeColor="text1"/>
                <w:szCs w:val="21"/>
                <w14:textFill>
                  <w14:solidFill>
                    <w14:schemeClr w14:val="tx1"/>
                  </w14:solidFill>
                </w14:textFill>
              </w:rPr>
            </w:pPr>
            <w:permStart w:id="9" w:edGrp="everyone"/>
            <w:r>
              <w:rPr>
                <w:rFonts w:hint="eastAsia" w:ascii="宋体" w:hAnsi="宋体" w:cs="Arial"/>
                <w:color w:val="000000" w:themeColor="text1"/>
                <w:szCs w:val="21"/>
                <w14:textFill>
                  <w14:solidFill>
                    <w14:schemeClr w14:val="tx1"/>
                  </w14:solidFill>
                </w14:textFill>
              </w:rPr>
              <w:t>谈判保证金：详见竞争性谈判公告</w:t>
            </w:r>
            <w:permEnd w:id="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15</w:t>
            </w:r>
          </w:p>
        </w:tc>
        <w:tc>
          <w:tcPr>
            <w:tcW w:w="9074" w:type="dxa"/>
            <w:vAlign w:val="center"/>
          </w:tcPr>
          <w:p>
            <w:pPr>
              <w:spacing w:line="400" w:lineRule="exact"/>
              <w:rPr>
                <w:rFonts w:ascii="宋体" w:hAnsi="宋体" w:cs="Arial"/>
                <w:color w:val="000000" w:themeColor="text1"/>
                <w:szCs w:val="21"/>
                <w14:textFill>
                  <w14:solidFill>
                    <w14:schemeClr w14:val="tx1"/>
                  </w14:solidFill>
                </w14:textFill>
              </w:rPr>
            </w:pPr>
            <w:r>
              <w:rPr>
                <w:rFonts w:hint="eastAsia"/>
                <w:color w:val="000000" w:themeColor="text1"/>
                <w14:textFill>
                  <w14:solidFill>
                    <w14:schemeClr w14:val="tx1"/>
                  </w14:solidFill>
                </w14:textFill>
              </w:rPr>
              <w:t>公告公示媒介：</w:t>
            </w:r>
            <w:r>
              <w:rPr>
                <w:rFonts w:hint="eastAsia" w:ascii="宋体" w:hAnsi="宋体"/>
                <w:color w:val="000000" w:themeColor="text1"/>
                <w:szCs w:val="21"/>
                <w14:textFill>
                  <w14:solidFill>
                    <w14:schemeClr w14:val="tx1"/>
                  </w14:solidFill>
                </w14:textFill>
              </w:rPr>
              <w:t>黄山学院国资处</w:t>
            </w:r>
            <w:r>
              <w:rPr>
                <w:rFonts w:ascii="宋体" w:hAnsi="宋体"/>
                <w:color w:val="000000" w:themeColor="text1"/>
                <w:szCs w:val="21"/>
                <w14:textFill>
                  <w14:solidFill>
                    <w14:schemeClr w14:val="tx1"/>
                  </w14:solidFill>
                </w14:textFill>
              </w:rPr>
              <w:t>网</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http://gzc.hsu.edu.cn/</w:t>
            </w:r>
            <w:r>
              <w:rPr>
                <w:rFonts w:hint="eastAsia" w:ascii="宋体" w:hAnsi="宋体"/>
                <w:color w:val="000000" w:themeColor="text1"/>
                <w:szCs w:val="21"/>
                <w14:textFill>
                  <w14:solidFill>
                    <w14:schemeClr w14:val="tx1"/>
                  </w14:solidFill>
                </w14:textFill>
              </w:rPr>
              <w:t>）</w:t>
            </w:r>
          </w:p>
        </w:tc>
      </w:tr>
    </w:tbl>
    <w:p>
      <w:pPr>
        <w:pStyle w:val="116"/>
        <w:rPr>
          <w:color w:val="000000" w:themeColor="text1"/>
          <w14:textFill>
            <w14:solidFill>
              <w14:schemeClr w14:val="tx1"/>
            </w14:solidFill>
          </w14:textFill>
        </w:rPr>
      </w:pPr>
      <w:bookmarkStart w:id="8" w:name="_Hlk450145192"/>
      <w:r>
        <w:rPr>
          <w:color w:val="000000" w:themeColor="text1"/>
          <w14:textFill>
            <w14:solidFill>
              <w14:schemeClr w14:val="tx1"/>
            </w14:solidFill>
          </w14:textFill>
        </w:rPr>
        <w:br w:type="page"/>
      </w:r>
      <w:bookmarkStart w:id="9" w:name="_Toc518654905"/>
      <w:bookmarkStart w:id="10" w:name="_Toc272218546"/>
      <w:bookmarkStart w:id="11" w:name="_Toc482821790"/>
      <w:bookmarkStart w:id="12" w:name="_Toc488157397"/>
      <w:r>
        <w:rPr>
          <w:rFonts w:hint="eastAsia"/>
          <w:color w:val="000000" w:themeColor="text1"/>
          <w14:textFill>
            <w14:solidFill>
              <w14:schemeClr w14:val="tx1"/>
            </w14:solidFill>
          </w14:textFill>
        </w:rPr>
        <w:t>第三章</w:t>
      </w:r>
      <w:permStart w:id="10" w:edGrp="everyone"/>
      <w:r>
        <w:rPr>
          <w:rFonts w:hint="eastAsia"/>
          <w:color w:val="000000" w:themeColor="text1"/>
          <w14:textFill>
            <w14:solidFill>
              <w14:schemeClr w14:val="tx1"/>
            </w14:solidFill>
          </w14:textFill>
        </w:rPr>
        <w:t>、项目要求</w:t>
      </w:r>
      <w:bookmarkEnd w:id="9"/>
      <w:permEnd w:id="10"/>
    </w:p>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一、技术要求</w:t>
      </w:r>
    </w:p>
    <w:p>
      <w:pPr>
        <w:spacing w:line="600" w:lineRule="exact"/>
        <w:ind w:firstLine="240" w:firstLineChars="100"/>
        <w:rPr>
          <w:rFonts w:ascii="宋体" w:hAnsi="宋体"/>
          <w:color w:val="000000" w:themeColor="text1"/>
          <w:sz w:val="24"/>
          <w:szCs w:val="24"/>
          <w14:textFill>
            <w14:solidFill>
              <w14:schemeClr w14:val="tx1"/>
            </w14:solidFill>
          </w14:textFill>
        </w:rPr>
      </w:pPr>
      <w:permStart w:id="11" w:edGrp="everyone"/>
      <w:r>
        <w:rPr>
          <w:rFonts w:hint="eastAsia" w:ascii="宋体" w:hAnsi="宋体"/>
          <w:color w:val="000000" w:themeColor="text1"/>
          <w:sz w:val="24"/>
          <w:szCs w:val="24"/>
          <w14:textFill>
            <w14:solidFill>
              <w14:schemeClr w14:val="tx1"/>
            </w14:solidFill>
          </w14:textFill>
        </w:rPr>
        <w:t>1、工期：</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日历天；</w:t>
      </w:r>
    </w:p>
    <w:p>
      <w:pPr>
        <w:spacing w:line="600" w:lineRule="exact"/>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机构：项目机构管理组织及人员安排合理、科学并满足项目实施要求。【须有项目经理（符合本项目资质和业绩要求）、技术负责人（应有相应技术职称）、施工员、质量员、安全员、资料员（专业配套、证件齐全）等人员】；</w:t>
      </w:r>
    </w:p>
    <w:p>
      <w:pPr>
        <w:spacing w:line="600" w:lineRule="exact"/>
        <w:ind w:firstLine="240" w:firstLineChars="1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3、施工方案：包括主要施工方法、施工机械配备、劳动力安排、确保工程质量的技术组织措施、确保安全生产的技术组织措施、工程施工的重点和难点及保证措施等情况；</w:t>
      </w:r>
    </w:p>
    <w:p>
      <w:pPr>
        <w:spacing w:line="600" w:lineRule="exact"/>
        <w:ind w:firstLine="240" w:firstLineChars="100"/>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4、投标时须按提供的参考品牌进行投标报价。</w:t>
      </w:r>
    </w:p>
    <w:p>
      <w:pPr>
        <w:spacing w:line="600" w:lineRule="exact"/>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、投标时须提供承诺：</w:t>
      </w:r>
    </w:p>
    <w:p>
      <w:pPr>
        <w:spacing w:line="600" w:lineRule="exact"/>
        <w:ind w:firstLine="480" w:firstLineChars="20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①、在审计时，变更增加项目中无类似的造价依据变更当期信息价及有关规定计算的价格按照中标价下浮比例（中标价与控制价相比）同比例下浮，变更程序按现行规定办理。</w:t>
      </w:r>
    </w:p>
    <w:p>
      <w:pPr>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②、</w:t>
      </w:r>
      <w:r>
        <w:rPr>
          <w:rFonts w:hint="eastAsia" w:ascii="宋体" w:hAnsi="宋体"/>
          <w:color w:val="000000" w:themeColor="text1"/>
          <w:sz w:val="24"/>
          <w:szCs w:val="24"/>
          <w14:textFill>
            <w14:solidFill>
              <w14:schemeClr w14:val="tx1"/>
            </w14:solidFill>
          </w14:textFill>
        </w:rPr>
        <w:t>中标后按规定接受中标约谈等其他事宜；</w:t>
      </w:r>
    </w:p>
    <w:p>
      <w:pPr>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③、材料真实性承诺（承诺对此次投标提供的所有资料和证明文件等材料的真实性负责，若存在弄虚作假，中标无效，愿被作不良行为记录、行政处罚，上网曝光等处理；</w:t>
      </w:r>
    </w:p>
    <w:p>
      <w:pPr>
        <w:spacing w:line="600" w:lineRule="exact"/>
        <w:ind w:firstLine="480" w:firstLineChars="200"/>
        <w:rPr>
          <w:rFonts w:hint="eastAsia"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④、确定中标后，须按照最终中标价格调整</w:t>
      </w:r>
      <w:r>
        <w:rPr>
          <w:rFonts w:hint="eastAsia" w:ascii="宋体" w:hAnsi="宋体" w:cs="Arial"/>
          <w:color w:val="000000" w:themeColor="text1"/>
          <w:sz w:val="24"/>
          <w:szCs w:val="24"/>
          <w14:textFill>
            <w14:solidFill>
              <w14:schemeClr w14:val="tx1"/>
            </w14:solidFill>
          </w14:textFill>
        </w:rPr>
        <w:t>价格标。</w:t>
      </w:r>
    </w:p>
    <w:p>
      <w:pPr>
        <w:spacing w:line="600" w:lineRule="exact"/>
        <w:ind w:firstLine="480" w:firstLineChars="200"/>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⑤投标人必须承诺：无论何种原因，施工期间均不得影响正常工作秩序，并自行处理可能出现的干扰，且不得因此而收取费用，保证顺利施工，不耽误工期。必须考虑工程的地理位置，承诺文明施工，确保施工安全，严格保护周边环境。因施工管理不善而造成的一切事故，投标人承担全部责任。</w:t>
      </w:r>
    </w:p>
    <w:permEnd w:id="11"/>
    <w:p>
      <w:pP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二、商务要求</w:t>
      </w:r>
    </w:p>
    <w:p>
      <w:pPr>
        <w:rPr>
          <w:rFonts w:ascii="宋体" w:hAnsi="宋体" w:cs="宋体"/>
          <w:b/>
          <w:bCs/>
          <w:color w:val="000000" w:themeColor="text1"/>
          <w:szCs w:val="21"/>
          <w14:textFill>
            <w14:solidFill>
              <w14:schemeClr w14:val="tx1"/>
            </w14:solidFill>
          </w14:textFill>
        </w:rPr>
      </w:pPr>
      <w:permStart w:id="12" w:edGrp="everyone"/>
      <w:r>
        <w:rPr>
          <w:rFonts w:hint="eastAsia" w:ascii="宋体" w:hAnsi="宋体" w:cs="宋体"/>
          <w:b/>
          <w:bCs/>
          <w:color w:val="000000" w:themeColor="text1"/>
          <w:szCs w:val="21"/>
          <w14:textFill>
            <w14:solidFill>
              <w14:schemeClr w14:val="tx1"/>
            </w14:solidFill>
          </w14:textFill>
        </w:rPr>
        <w:t xml:space="preserve">         </w:t>
      </w:r>
      <w:permEnd w:id="12"/>
    </w:p>
    <w:tbl>
      <w:tblPr>
        <w:tblStyle w:val="59"/>
        <w:tblW w:w="9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94"/>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12" w:type="dxa"/>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2094" w:type="dxa"/>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内容</w:t>
            </w:r>
          </w:p>
        </w:tc>
        <w:tc>
          <w:tcPr>
            <w:tcW w:w="6476" w:type="dxa"/>
          </w:tcPr>
          <w:p>
            <w:pPr>
              <w:ind w:firstLine="2673" w:firstLineChars="1268"/>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12" w:type="dxa"/>
            <w:vAlign w:val="center"/>
          </w:tcPr>
          <w:p>
            <w:pPr>
              <w:jc w:val="center"/>
              <w:rPr>
                <w:rFonts w:ascii="宋体" w:hAnsi="宋体"/>
                <w:color w:val="000000" w:themeColor="text1"/>
                <w:sz w:val="24"/>
                <w14:textFill>
                  <w14:solidFill>
                    <w14:schemeClr w14:val="tx1"/>
                  </w14:solidFill>
                </w14:textFill>
              </w:rPr>
            </w:pPr>
            <w:permStart w:id="13" w:edGrp="everyone" w:colFirst="0" w:colLast="0"/>
            <w:permStart w:id="14" w:edGrp="everyone" w:colFirst="2" w:colLast="2"/>
            <w:r>
              <w:rPr>
                <w:rFonts w:hint="eastAsia" w:ascii="宋体" w:hAnsi="宋体"/>
                <w:color w:val="000000" w:themeColor="text1"/>
                <w:sz w:val="24"/>
                <w14:textFill>
                  <w14:solidFill>
                    <w14:schemeClr w14:val="tx1"/>
                  </w14:solidFill>
                </w14:textFill>
              </w:rPr>
              <w:t>1</w:t>
            </w:r>
          </w:p>
        </w:tc>
        <w:tc>
          <w:tcPr>
            <w:tcW w:w="209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质量要求</w:t>
            </w:r>
          </w:p>
        </w:tc>
        <w:tc>
          <w:tcPr>
            <w:tcW w:w="6476" w:type="dxa"/>
            <w:vAlign w:val="center"/>
          </w:tcPr>
          <w:p>
            <w:pPr>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一次性验收合格</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8" w:hRule="atLeast"/>
          <w:jc w:val="center"/>
        </w:trPr>
        <w:tc>
          <w:tcPr>
            <w:tcW w:w="812" w:type="dxa"/>
            <w:vAlign w:val="center"/>
          </w:tcPr>
          <w:p>
            <w:pPr>
              <w:jc w:val="center"/>
              <w:rPr>
                <w:rFonts w:ascii="宋体" w:hAnsi="宋体"/>
                <w:color w:val="000000" w:themeColor="text1"/>
                <w:sz w:val="24"/>
                <w14:textFill>
                  <w14:solidFill>
                    <w14:schemeClr w14:val="tx1"/>
                  </w14:solidFill>
                </w14:textFill>
              </w:rPr>
            </w:pPr>
            <w:permStart w:id="15" w:edGrp="everyone" w:colFirst="0" w:colLast="0"/>
            <w:permStart w:id="16" w:edGrp="everyone" w:colFirst="2" w:colLast="2"/>
            <w:r>
              <w:rPr>
                <w:rFonts w:hint="eastAsia" w:ascii="宋体" w:hAnsi="宋体"/>
                <w:color w:val="000000" w:themeColor="text1"/>
                <w:sz w:val="24"/>
                <w14:textFill>
                  <w14:solidFill>
                    <w14:schemeClr w14:val="tx1"/>
                  </w14:solidFill>
                </w14:textFill>
              </w:rPr>
              <w:t>2</w:t>
            </w:r>
          </w:p>
        </w:tc>
        <w:tc>
          <w:tcPr>
            <w:tcW w:w="209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w:t>
            </w:r>
          </w:p>
        </w:tc>
        <w:tc>
          <w:tcPr>
            <w:tcW w:w="6476" w:type="dxa"/>
            <w:vAlign w:val="center"/>
          </w:tcPr>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付款人：黄山学院   </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付款方式：工程结算审计结束后，中标单位将审计总价的 3%汇入黄山学院账户，作为工程质量保证金（两年维保期满按规定验收通过后无息退还）后，付清到结算审计总价的 100 %。</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12" w:type="dxa"/>
            <w:vAlign w:val="center"/>
          </w:tcPr>
          <w:p>
            <w:pPr>
              <w:jc w:val="center"/>
              <w:rPr>
                <w:rFonts w:ascii="宋体" w:hAnsi="宋体"/>
                <w:color w:val="000000" w:themeColor="text1"/>
                <w:sz w:val="24"/>
                <w14:textFill>
                  <w14:solidFill>
                    <w14:schemeClr w14:val="tx1"/>
                  </w14:solidFill>
                </w14:textFill>
              </w:rPr>
            </w:pPr>
            <w:permStart w:id="17" w:edGrp="everyone" w:colFirst="0" w:colLast="0"/>
            <w:permStart w:id="18" w:edGrp="everyone" w:colFirst="2" w:colLast="2"/>
            <w:r>
              <w:rPr>
                <w:rFonts w:hint="eastAsia" w:ascii="宋体" w:hAnsi="宋体"/>
                <w:color w:val="000000" w:themeColor="text1"/>
                <w:sz w:val="24"/>
                <w14:textFill>
                  <w14:solidFill>
                    <w14:schemeClr w14:val="tx1"/>
                  </w14:solidFill>
                </w14:textFill>
              </w:rPr>
              <w:t>3</w:t>
            </w:r>
          </w:p>
        </w:tc>
        <w:tc>
          <w:tcPr>
            <w:tcW w:w="209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w:t>
            </w:r>
          </w:p>
        </w:tc>
        <w:tc>
          <w:tcPr>
            <w:tcW w:w="6476"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中标合同金额的10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（须在领取中标通知书前打入黄山学院账户）</w:t>
            </w:r>
          </w:p>
        </w:tc>
      </w:tr>
      <w:permEnd w:id="17"/>
      <w:permEnd w:id="18"/>
    </w:tbl>
    <w:p>
      <w:pPr>
        <w:rPr>
          <w:rFonts w:ascii="宋体" w:hAnsi="宋体"/>
          <w:color w:val="000000" w:themeColor="text1"/>
          <w14:textFill>
            <w14:solidFill>
              <w14:schemeClr w14:val="tx1"/>
            </w14:solidFill>
          </w14:textFill>
        </w:rPr>
      </w:pPr>
      <w:permStart w:id="19" w:edGrp="everyone"/>
      <w:r>
        <w:rPr>
          <w:rFonts w:hint="eastAsia" w:ascii="宋体" w:hAnsi="宋体"/>
          <w:color w:val="000000" w:themeColor="text1"/>
          <w14:textFill>
            <w14:solidFill>
              <w14:schemeClr w14:val="tx1"/>
            </w14:solidFill>
          </w14:textFill>
        </w:rPr>
        <w:t xml:space="preserve">    </w:t>
      </w:r>
    </w:p>
    <w:permEnd w:id="19"/>
    <w:p>
      <w:pPr>
        <w:pStyle w:val="116"/>
        <w:spacing w:line="360" w:lineRule="exact"/>
        <w:rPr>
          <w:color w:val="000000" w:themeColor="text1"/>
          <w14:textFill>
            <w14:solidFill>
              <w14:schemeClr w14:val="tx1"/>
            </w14:solidFill>
          </w14:textFill>
        </w:rPr>
      </w:pPr>
      <w:bookmarkStart w:id="13" w:name="_Toc488157402"/>
      <w:r>
        <w:rPr>
          <w:color w:val="000000" w:themeColor="text1"/>
          <w14:textFill>
            <w14:solidFill>
              <w14:schemeClr w14:val="tx1"/>
            </w14:solidFill>
          </w14:textFill>
        </w:rPr>
        <w:br w:type="page"/>
      </w:r>
      <w:bookmarkStart w:id="14" w:name="_Toc518654906"/>
      <w:r>
        <w:rPr>
          <w:rFonts w:hint="eastAsia"/>
          <w:color w:val="000000" w:themeColor="text1"/>
          <w14:textFill>
            <w14:solidFill>
              <w14:schemeClr w14:val="tx1"/>
            </w14:solidFill>
          </w14:textFill>
        </w:rPr>
        <w:t>第四章 资格性和符合性评审表</w:t>
      </w:r>
      <w:bookmarkEnd w:id="13"/>
      <w:bookmarkEnd w:id="14"/>
    </w:p>
    <w:p>
      <w:pPr>
        <w:pStyle w:val="117"/>
        <w:spacing w:line="360" w:lineRule="exact"/>
        <w:rPr>
          <w:color w:val="000000" w:themeColor="text1"/>
          <w14:textFill>
            <w14:solidFill>
              <w14:schemeClr w14:val="tx1"/>
            </w14:solidFill>
          </w14:textFill>
        </w:rPr>
      </w:pPr>
      <w:bookmarkStart w:id="15" w:name="_Toc518654907"/>
      <w:r>
        <w:rPr>
          <w:rFonts w:hint="eastAsia"/>
          <w:color w:val="000000" w:themeColor="text1"/>
          <w14:textFill>
            <w14:solidFill>
              <w14:schemeClr w14:val="tx1"/>
            </w14:solidFill>
          </w14:textFill>
        </w:rPr>
        <w:t>一、资格性审查表</w:t>
      </w:r>
      <w:bookmarkEnd w:id="15"/>
      <w:permStart w:id="20" w:edGrp="everyone"/>
      <w:permEnd w:id="20"/>
    </w:p>
    <w:tbl>
      <w:tblPr>
        <w:tblStyle w:val="59"/>
        <w:tblW w:w="953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68"/>
        <w:gridCol w:w="4096"/>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722"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168" w:type="dxa"/>
            <w:tcBorders>
              <w:bottom w:val="single" w:color="auto" w:sz="4" w:space="0"/>
            </w:tcBorders>
            <w:vAlign w:val="center"/>
          </w:tcPr>
          <w:p>
            <w:pPr>
              <w:pStyle w:val="114"/>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14:textFill>
                  <w14:solidFill>
                    <w14:schemeClr w14:val="tx1"/>
                  </w14:solidFill>
                </w14:textFill>
              </w:rPr>
            </w:pPr>
            <w:r>
              <w:rPr>
                <w:rFonts w:hint="eastAsia" w:ascii="宋体" w:hAnsi="宋体"/>
                <w:color w:val="000000" w:themeColor="text1"/>
                <w:kern w:val="2"/>
                <w:szCs w:val="24"/>
                <w14:textFill>
                  <w14:solidFill>
                    <w14:schemeClr w14:val="tx1"/>
                  </w14:solidFill>
                </w14:textFill>
              </w:rPr>
              <w:t>指标名称</w:t>
            </w:r>
          </w:p>
        </w:tc>
        <w:tc>
          <w:tcPr>
            <w:tcW w:w="4096"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指标要求</w:t>
            </w:r>
          </w:p>
        </w:tc>
        <w:tc>
          <w:tcPr>
            <w:tcW w:w="2549"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营业执照</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ermStart w:id="21" w:edGrp="everyone"/>
            <w:r>
              <w:rPr>
                <w:rFonts w:hint="eastAsia" w:ascii="宋体" w:hAnsi="宋体"/>
                <w:color w:val="000000" w:themeColor="text1"/>
                <w:sz w:val="24"/>
                <w:szCs w:val="28"/>
                <w14:textFill>
                  <w14:solidFill>
                    <w14:schemeClr w14:val="tx1"/>
                  </w14:solidFill>
                </w14:textFill>
              </w:rPr>
              <w:t>符合谈判文件第一章要求</w:t>
            </w:r>
            <w:permEnd w:id="21"/>
          </w:p>
        </w:tc>
        <w:tc>
          <w:tcPr>
            <w:tcW w:w="2549" w:type="dxa"/>
            <w:vMerge w:val="restart"/>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提供有效的营业执照和税务登记证的（接受合一的证书），</w:t>
            </w:r>
            <w:r>
              <w:rPr>
                <w:rFonts w:hint="eastAsia" w:ascii="宋体" w:hAnsi="宋体"/>
                <w:b/>
                <w:bCs/>
                <w:color w:val="000000" w:themeColor="text1"/>
                <w:szCs w:val="21"/>
                <w14:textFill>
                  <w14:solidFill>
                    <w14:schemeClr w14:val="tx1"/>
                  </w14:solidFill>
                </w14:textFill>
              </w:rPr>
              <w:t>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税务登记证</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
        </w:tc>
        <w:tc>
          <w:tcPr>
            <w:tcW w:w="2549" w:type="dxa"/>
            <w:vMerge w:val="continue"/>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ermStart w:id="23" w:edGrp="everyone" w:colFirst="4" w:colLast="4"/>
            <w:r>
              <w:rPr>
                <w:rFonts w:hint="eastAsia" w:ascii="宋体" w:hAnsi="宋体"/>
                <w:color w:val="000000" w:themeColor="text1"/>
                <w:sz w:val="24"/>
                <w14:textFill>
                  <w14:solidFill>
                    <w14:schemeClr w14:val="tx1"/>
                  </w14:solidFill>
                </w14:textFill>
              </w:rPr>
              <w:t>3</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资质条件</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ermStart w:id="22" w:edGrp="everyone"/>
            <w:r>
              <w:rPr>
                <w:rFonts w:hint="eastAsia" w:ascii="宋体" w:hAnsi="宋体"/>
                <w:color w:val="000000" w:themeColor="text1"/>
                <w:sz w:val="24"/>
                <w:szCs w:val="28"/>
                <w14:textFill>
                  <w14:solidFill>
                    <w14:schemeClr w14:val="tx1"/>
                  </w14:solidFill>
                </w14:textFill>
              </w:rPr>
              <w:t>符合谈判文件第一章要求</w:t>
            </w:r>
            <w:permEnd w:id="22"/>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168" w:type="dxa"/>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安全生产许可证</w:t>
            </w:r>
          </w:p>
        </w:tc>
        <w:tc>
          <w:tcPr>
            <w:tcW w:w="4096" w:type="dxa"/>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具备有效的安全生产许可证</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报名情况</w:t>
            </w:r>
          </w:p>
        </w:tc>
        <w:tc>
          <w:tcPr>
            <w:tcW w:w="4096" w:type="dxa"/>
            <w:vAlign w:val="center"/>
          </w:tcPr>
          <w:p>
            <w:pPr>
              <w:spacing w:after="50" w:line="400" w:lineRule="exact"/>
              <w:ind w:right="-11"/>
              <w:jc w:val="left"/>
              <w:rPr>
                <w:rFonts w:ascii="宋体" w:hAnsi="宋体"/>
                <w:color w:val="000000" w:themeColor="text1"/>
                <w:sz w:val="24"/>
                <w:szCs w:val="28"/>
                <w14:textFill>
                  <w14:solidFill>
                    <w14:schemeClr w14:val="tx1"/>
                  </w14:solidFill>
                </w14:textFill>
              </w:rPr>
            </w:pPr>
            <w:permStart w:id="24" w:edGrp="everyone"/>
            <w:r>
              <w:rPr>
                <w:rFonts w:hint="eastAsia"/>
                <w:bCs/>
                <w:color w:val="000000" w:themeColor="text1"/>
                <w:szCs w:val="21"/>
                <w14:textFill>
                  <w14:solidFill>
                    <w14:schemeClr w14:val="tx1"/>
                  </w14:solidFill>
                </w14:textFill>
              </w:rPr>
              <w:t>投标人须在代理机构处报名领取谈判文件的，否则其递交的投标文件将被视为无效</w:t>
            </w:r>
            <w:permEnd w:id="24"/>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168"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投标人及其法定代表人无行贿犯罪档案记录</w:t>
            </w:r>
          </w:p>
        </w:tc>
        <w:tc>
          <w:tcPr>
            <w:tcW w:w="4096" w:type="dxa"/>
            <w:vAlign w:val="center"/>
          </w:tcPr>
          <w:p>
            <w:pPr>
              <w:spacing w:after="50" w:line="360" w:lineRule="auto"/>
              <w:ind w:right="-1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或其法定代表人被人民检察院列入行贿犯罪档案的；[投标人须提供公司注册所在地或项目单位所在地检察机关出具的投标人及其法定代表人无行贿犯罪档案记录（复印件加盖公章装订在谈判响应文件中），或者带有二维码链接网址的打印件装订在谈判响应文件中（自出具之日起两个月内有效）]</w:t>
            </w:r>
          </w:p>
        </w:tc>
        <w:tc>
          <w:tcPr>
            <w:tcW w:w="2549"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若谈判响应文件未提供的，可自收到评委通知后1个小时内提供</w:t>
            </w: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项目经理</w:t>
            </w:r>
          </w:p>
        </w:tc>
        <w:tc>
          <w:tcPr>
            <w:tcW w:w="4096" w:type="dxa"/>
            <w:vAlign w:val="center"/>
          </w:tcPr>
          <w:p>
            <w:pPr>
              <w:spacing w:after="50" w:line="400" w:lineRule="exact"/>
              <w:ind w:right="-11"/>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ermStart w:id="25" w:edGrp="everyone"/>
            <w:r>
              <w:rPr>
                <w:rFonts w:hint="eastAsia" w:ascii="宋体" w:hAnsi="宋体"/>
                <w:color w:val="000000" w:themeColor="text1"/>
                <w:sz w:val="24"/>
                <w:szCs w:val="28"/>
                <w14:textFill>
                  <w14:solidFill>
                    <w14:schemeClr w14:val="tx1"/>
                  </w14:solidFill>
                </w14:textFill>
              </w:rPr>
              <w:t>符合谈判文件第一章要求</w:t>
            </w:r>
            <w:permEnd w:id="25"/>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工  期</w:t>
            </w:r>
          </w:p>
        </w:tc>
        <w:tc>
          <w:tcPr>
            <w:tcW w:w="4096" w:type="dxa"/>
            <w:vAlign w:val="center"/>
          </w:tcPr>
          <w:p>
            <w:pPr>
              <w:spacing w:after="50" w:line="400" w:lineRule="exact"/>
              <w:ind w:right="-11"/>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符合谈判文件要求</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标书规范性</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符合谈判文件要求（</w:t>
            </w:r>
            <w:r>
              <w:rPr>
                <w:rFonts w:hint="eastAsia" w:ascii="宋体" w:hAnsi="宋体" w:cs="Arial"/>
                <w:color w:val="000000" w:themeColor="text1"/>
                <w:szCs w:val="21"/>
                <w14:textFill>
                  <w14:solidFill>
                    <w14:schemeClr w14:val="tx1"/>
                  </w14:solidFill>
                </w14:textFill>
              </w:rPr>
              <w:t>按照规定的要求进行编制、装订、标记和签署</w:t>
            </w:r>
            <w:r>
              <w:rPr>
                <w:rFonts w:hint="eastAsia" w:ascii="宋体" w:hAnsi="宋体"/>
                <w:color w:val="000000" w:themeColor="text1"/>
                <w:sz w:val="24"/>
                <w:szCs w:val="28"/>
                <w14:textFill>
                  <w14:solidFill>
                    <w14:schemeClr w14:val="tx1"/>
                  </w14:solidFill>
                </w14:textFill>
              </w:rPr>
              <w:t>）</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投标函</w:t>
            </w:r>
          </w:p>
        </w:tc>
        <w:tc>
          <w:tcPr>
            <w:tcW w:w="4096"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符合谈判文件要求</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法定代表人授权委托书和身份证明书</w:t>
            </w:r>
          </w:p>
        </w:tc>
        <w:tc>
          <w:tcPr>
            <w:tcW w:w="4096"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原件，符合谈判文件要求</w:t>
            </w:r>
          </w:p>
        </w:tc>
        <w:tc>
          <w:tcPr>
            <w:tcW w:w="2549"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法人代表参加投标的无需授权委托书，提供身份证明书即可</w:t>
            </w:r>
          </w:p>
        </w:tc>
      </w:tr>
    </w:tbl>
    <w:p>
      <w:pPr>
        <w:pStyle w:val="117"/>
        <w:rPr>
          <w:color w:val="000000" w:themeColor="text1"/>
          <w:lang w:bidi="he-IL"/>
          <w14:textFill>
            <w14:solidFill>
              <w14:schemeClr w14:val="tx1"/>
            </w14:solidFill>
          </w14:textFill>
        </w:rPr>
      </w:pPr>
    </w:p>
    <w:p>
      <w:pPr>
        <w:pStyle w:val="117"/>
        <w:rPr>
          <w:color w:val="000000" w:themeColor="text1"/>
          <w:lang w:bidi="he-IL"/>
          <w14:textFill>
            <w14:solidFill>
              <w14:schemeClr w14:val="tx1"/>
            </w14:solidFill>
          </w14:textFill>
        </w:rPr>
      </w:pPr>
    </w:p>
    <w:p>
      <w:pPr>
        <w:pStyle w:val="117"/>
        <w:rPr>
          <w:color w:val="000000" w:themeColor="text1"/>
          <w:lang w:bidi="he-IL"/>
          <w14:textFill>
            <w14:solidFill>
              <w14:schemeClr w14:val="tx1"/>
            </w14:solidFill>
          </w14:textFill>
        </w:rPr>
      </w:pPr>
      <w:bookmarkStart w:id="16" w:name="_Toc518654908"/>
      <w:r>
        <w:rPr>
          <w:color w:val="000000" w:themeColor="text1"/>
          <w:lang w:bidi="he-IL"/>
          <w14:textFill>
            <w14:solidFill>
              <w14:schemeClr w14:val="tx1"/>
            </w14:solidFill>
          </w14:textFill>
        </w:rPr>
        <w:t>二</w:t>
      </w:r>
      <w:r>
        <w:rPr>
          <w:rFonts w:hint="eastAsia"/>
          <w:color w:val="000000" w:themeColor="text1"/>
          <w:lang w:bidi="he-IL"/>
          <w14:textFill>
            <w14:solidFill>
              <w14:schemeClr w14:val="tx1"/>
            </w14:solidFill>
          </w14:textFill>
        </w:rPr>
        <w:t>、</w:t>
      </w:r>
      <w:r>
        <w:rPr>
          <w:color w:val="000000" w:themeColor="text1"/>
          <w:lang w:bidi="he-IL"/>
          <w14:textFill>
            <w14:solidFill>
              <w14:schemeClr w14:val="tx1"/>
            </w14:solidFill>
          </w14:textFill>
        </w:rPr>
        <w:t>符合性审查表</w:t>
      </w:r>
      <w:bookmarkEnd w:id="16"/>
    </w:p>
    <w:p>
      <w:pPr>
        <w:pStyle w:val="113"/>
        <w:ind w:firstLine="199" w:firstLineChars="95"/>
        <w:rPr>
          <w:color w:val="000000" w:themeColor="text1"/>
          <w:lang w:bidi="he-IL"/>
          <w14:textFill>
            <w14:solidFill>
              <w14:schemeClr w14:val="tx1"/>
            </w14:solidFill>
          </w14:textFill>
        </w:rPr>
      </w:pPr>
      <w:permStart w:id="26" w:edGrp="everyone"/>
      <w:r>
        <w:rPr>
          <w:rFonts w:hint="eastAsia"/>
          <w:color w:val="000000" w:themeColor="text1"/>
          <w:lang w:bidi="he-IL"/>
          <w14:textFill>
            <w14:solidFill>
              <w14:schemeClr w14:val="tx1"/>
            </w14:solidFill>
          </w14:textFill>
        </w:rPr>
        <w:t xml:space="preserve">           </w:t>
      </w:r>
      <w:permEnd w:id="26"/>
    </w:p>
    <w:tbl>
      <w:tblPr>
        <w:tblStyle w:val="59"/>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127" w:type="dxa"/>
            <w:tcBorders>
              <w:top w:val="single" w:color="auto" w:sz="4" w:space="0"/>
              <w:left w:val="single" w:color="auto" w:sz="4" w:space="0"/>
              <w:bottom w:val="single" w:color="auto" w:sz="4" w:space="0"/>
              <w:right w:val="single" w:color="auto" w:sz="4" w:space="0"/>
            </w:tcBorders>
            <w:vAlign w:val="center"/>
          </w:tcPr>
          <w:p>
            <w:pPr>
              <w:pStyle w:val="114"/>
              <w:pBdr>
                <w:bottom w:val="none" w:color="auto" w:sz="0" w:space="0"/>
              </w:pBdr>
              <w:tabs>
                <w:tab w:val="clear" w:pos="4153"/>
                <w:tab w:val="clear" w:pos="8306"/>
              </w:tabs>
              <w:snapToGrid w:val="0"/>
              <w:spacing w:line="360" w:lineRule="auto"/>
              <w:ind w:right="-10"/>
              <w:textAlignment w:val="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指标名称</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指标要求</w:t>
            </w:r>
          </w:p>
        </w:tc>
        <w:tc>
          <w:tcPr>
            <w:tcW w:w="2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jc w:val="center"/>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127" w:type="dxa"/>
            <w:vAlign w:val="center"/>
          </w:tcPr>
          <w:p>
            <w:pPr>
              <w:pStyle w:val="114"/>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14:textFill>
                  <w14:solidFill>
                    <w14:schemeClr w14:val="tx1"/>
                  </w14:solidFill>
                </w14:textFill>
              </w:rPr>
            </w:pPr>
            <w:r>
              <w:rPr>
                <w:rFonts w:hint="eastAsia" w:ascii="宋体" w:hAnsi="宋体"/>
                <w:color w:val="000000" w:themeColor="text1"/>
                <w:szCs w:val="28"/>
                <w14:textFill>
                  <w14:solidFill>
                    <w14:schemeClr w14:val="tx1"/>
                  </w14:solidFill>
                </w14:textFill>
              </w:rPr>
              <w:t>项目要求响应情况</w:t>
            </w:r>
          </w:p>
        </w:tc>
        <w:tc>
          <w:tcPr>
            <w:tcW w:w="340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项目要求响应等</w:t>
            </w:r>
          </w:p>
        </w:tc>
        <w:tc>
          <w:tcPr>
            <w:tcW w:w="2516"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ermStart w:id="27" w:edGrp="everyone"/>
            <w:r>
              <w:rPr>
                <w:rFonts w:ascii="宋体" w:hAnsi="宋体"/>
                <w:color w:val="000000" w:themeColor="text1"/>
                <w:sz w:val="24"/>
                <w14:textFill>
                  <w14:solidFill>
                    <w14:schemeClr w14:val="tx1"/>
                  </w14:solidFill>
                </w14:textFill>
              </w:rPr>
              <w:t>符合谈判文件第</w:t>
            </w:r>
            <w:r>
              <w:rPr>
                <w:rFonts w:hint="eastAsia" w:ascii="宋体" w:hAnsi="宋体"/>
                <w:color w:val="000000" w:themeColor="text1"/>
                <w:sz w:val="24"/>
                <w14:textFill>
                  <w14:solidFill>
                    <w14:schemeClr w14:val="tx1"/>
                  </w14:solidFill>
                </w14:textFill>
              </w:rPr>
              <w:t>三章第一项要求</w:t>
            </w:r>
            <w:permEnd w:id="27"/>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4" w:hRule="atLeast"/>
          <w:jc w:val="center"/>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商务要求响应情况</w:t>
            </w:r>
          </w:p>
        </w:tc>
        <w:tc>
          <w:tcPr>
            <w:tcW w:w="3402"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付款响应、</w:t>
            </w:r>
            <w:r>
              <w:rPr>
                <w:rFonts w:hint="eastAsia" w:ascii="宋体" w:hAnsi="宋体"/>
                <w:color w:val="000000" w:themeColor="text1"/>
                <w:sz w:val="24"/>
                <w14:textFill>
                  <w14:solidFill>
                    <w14:schemeClr w14:val="tx1"/>
                  </w14:solidFill>
                </w14:textFill>
              </w:rPr>
              <w:t>质量要求</w:t>
            </w:r>
            <w:r>
              <w:rPr>
                <w:rFonts w:hint="eastAsia" w:ascii="宋体" w:hAnsi="宋体"/>
                <w:color w:val="000000" w:themeColor="text1"/>
                <w:sz w:val="24"/>
                <w:szCs w:val="28"/>
                <w14:textFill>
                  <w14:solidFill>
                    <w14:schemeClr w14:val="tx1"/>
                  </w14:solidFill>
                </w14:textFill>
              </w:rPr>
              <w:t>响应、</w:t>
            </w:r>
            <w:r>
              <w:rPr>
                <w:rFonts w:hint="eastAsia" w:ascii="宋体" w:hAnsi="宋体"/>
                <w:color w:val="000000" w:themeColor="text1"/>
                <w:sz w:val="24"/>
                <w14:textFill>
                  <w14:solidFill>
                    <w14:schemeClr w14:val="tx1"/>
                  </w14:solidFill>
                </w14:textFill>
              </w:rPr>
              <w:t>履约保证金响应</w:t>
            </w:r>
            <w:r>
              <w:rPr>
                <w:rFonts w:hint="eastAsia" w:ascii="宋体" w:hAnsi="宋体"/>
                <w:color w:val="000000" w:themeColor="text1"/>
                <w:sz w:val="24"/>
                <w:szCs w:val="28"/>
                <w14:textFill>
                  <w14:solidFill>
                    <w14:schemeClr w14:val="tx1"/>
                  </w14:solidFill>
                </w14:textFill>
              </w:rPr>
              <w:t>等。</w:t>
            </w:r>
          </w:p>
        </w:tc>
        <w:tc>
          <w:tcPr>
            <w:tcW w:w="2516"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permStart w:id="28" w:edGrp="everyone"/>
            <w:r>
              <w:rPr>
                <w:rFonts w:ascii="宋体" w:hAnsi="宋体"/>
                <w:color w:val="000000" w:themeColor="text1"/>
                <w:sz w:val="24"/>
                <w14:textFill>
                  <w14:solidFill>
                    <w14:schemeClr w14:val="tx1"/>
                  </w14:solidFill>
                </w14:textFill>
              </w:rPr>
              <w:t>符合谈判文件第</w:t>
            </w:r>
            <w:r>
              <w:rPr>
                <w:rFonts w:hint="eastAsia" w:ascii="宋体" w:hAnsi="宋体"/>
                <w:color w:val="000000" w:themeColor="text1"/>
                <w:sz w:val="24"/>
                <w14:textFill>
                  <w14:solidFill>
                    <w14:schemeClr w14:val="tx1"/>
                  </w14:solidFill>
                </w14:textFill>
              </w:rPr>
              <w:t>三章第二项要求</w:t>
            </w:r>
            <w:permEnd w:id="28"/>
          </w:p>
        </w:tc>
      </w:tr>
    </w:tbl>
    <w:p>
      <w:pPr>
        <w:pStyle w:val="113"/>
        <w:ind w:firstLine="480"/>
        <w:rPr>
          <w:rFonts w:ascii="宋体" w:hAnsi="宋体"/>
          <w:color w:val="000000" w:themeColor="text1"/>
          <w:sz w:val="24"/>
          <w:lang w:bidi="he-IL"/>
          <w14:textFill>
            <w14:solidFill>
              <w14:schemeClr w14:val="tx1"/>
            </w14:solidFill>
          </w14:textFill>
        </w:rPr>
      </w:pPr>
      <w:permStart w:id="29" w:edGrp="everyone"/>
    </w:p>
    <w:permEnd w:id="29"/>
    <w:p>
      <w:pPr>
        <w:pStyle w:val="51"/>
        <w:jc w:val="left"/>
        <w:rPr>
          <w:color w:val="000000" w:themeColor="text1"/>
          <w:lang w:bidi="he-IL"/>
          <w14:textFill>
            <w14:solidFill>
              <w14:schemeClr w14:val="tx1"/>
            </w14:solidFill>
          </w14:textFill>
        </w:rPr>
      </w:pPr>
      <w:r>
        <w:rPr>
          <w:color w:val="000000" w:themeColor="text1"/>
          <w:lang w:bidi="he-IL"/>
          <w14:textFill>
            <w14:solidFill>
              <w14:schemeClr w14:val="tx1"/>
            </w14:solidFill>
          </w14:textFill>
        </w:rPr>
        <w:br w:type="page"/>
      </w:r>
      <w:bookmarkStart w:id="17" w:name="_Toc518654909"/>
      <w:r>
        <w:rPr>
          <w:rFonts w:hint="eastAsia"/>
          <w:color w:val="000000" w:themeColor="text1"/>
          <w14:textFill>
            <w14:solidFill>
              <w14:schemeClr w14:val="tx1"/>
            </w14:solidFill>
          </w14:textFill>
        </w:rPr>
        <w:t>谈判文件第二部分（通用部分）</w:t>
      </w:r>
      <w:bookmarkEnd w:id="17"/>
    </w:p>
    <w:p>
      <w:pPr>
        <w:pStyle w:val="116"/>
        <w:keepNext w:val="0"/>
        <w:keepLines w:val="0"/>
        <w:rPr>
          <w:color w:val="000000" w:themeColor="text1"/>
          <w14:textFill>
            <w14:solidFill>
              <w14:schemeClr w14:val="tx1"/>
            </w14:solidFill>
          </w14:textFill>
        </w:rPr>
      </w:pPr>
      <w:bookmarkStart w:id="18" w:name="_Toc518654910"/>
      <w:r>
        <w:rPr>
          <w:rFonts w:hint="eastAsia"/>
          <w:color w:val="000000" w:themeColor="text1"/>
          <w14:textFill>
            <w14:solidFill>
              <w14:schemeClr w14:val="tx1"/>
            </w14:solidFill>
          </w14:textFill>
        </w:rPr>
        <w:t>第五章  投标人须知</w:t>
      </w:r>
      <w:bookmarkEnd w:id="8"/>
      <w:bookmarkEnd w:id="10"/>
      <w:bookmarkEnd w:id="11"/>
      <w:bookmarkEnd w:id="12"/>
      <w:bookmarkEnd w:id="18"/>
    </w:p>
    <w:p>
      <w:pPr>
        <w:pStyle w:val="117"/>
        <w:rPr>
          <w:color w:val="000000" w:themeColor="text1"/>
          <w14:textFill>
            <w14:solidFill>
              <w14:schemeClr w14:val="tx1"/>
            </w14:solidFill>
          </w14:textFill>
        </w:rPr>
      </w:pPr>
      <w:bookmarkStart w:id="19" w:name="_Toc518654911"/>
      <w:r>
        <w:rPr>
          <w:rFonts w:hint="eastAsia"/>
          <w:color w:val="000000" w:themeColor="text1"/>
          <w14:textFill>
            <w14:solidFill>
              <w14:schemeClr w14:val="tx1"/>
            </w14:solidFill>
          </w14:textFill>
        </w:rPr>
        <w:t>一、总则</w:t>
      </w:r>
      <w:bookmarkEnd w:id="19"/>
    </w:p>
    <w:p>
      <w:pPr>
        <w:numPr>
          <w:ilvl w:val="0"/>
          <w:numId w:val="3"/>
        </w:numPr>
        <w:spacing w:line="54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适用范围</w:t>
      </w:r>
    </w:p>
    <w:p>
      <w:pPr>
        <w:spacing w:line="540" w:lineRule="exact"/>
        <w:ind w:left="267" w:leftChars="127" w:firstLine="210" w:firstLineChars="1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1.1本文件是根据《中华人民共和国政府采购法》等相关法律、法规制订。</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1.2凡在黄山市从事货物服务政府采购竞争性谈判项目，均须使用本范本。</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1.3本谈判文件的最终解释权归采购人所有。</w:t>
      </w:r>
    </w:p>
    <w:p>
      <w:pPr>
        <w:spacing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2、定义</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2.2采购单位：是指具体负责和从事采购业务的集中采购机构、社会中介代理机构和项目单位（采购人）的总称。</w:t>
      </w:r>
    </w:p>
    <w:p>
      <w:pPr>
        <w:spacing w:line="540" w:lineRule="exact"/>
        <w:ind w:firstLine="413" w:firstLineChars="196"/>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3、投标人</w:t>
      </w:r>
      <w:r>
        <w:rPr>
          <w:rFonts w:ascii="宋体" w:hAnsi="宋体" w:cs="Arial"/>
          <w:b/>
          <w:color w:val="000000" w:themeColor="text1"/>
          <w:szCs w:val="21"/>
          <w14:textFill>
            <w14:solidFill>
              <w14:schemeClr w14:val="tx1"/>
            </w14:solidFill>
          </w14:textFill>
        </w:rPr>
        <w:t>要求</w:t>
      </w:r>
      <w:r>
        <w:rPr>
          <w:rFonts w:hint="eastAsia" w:ascii="宋体" w:hAnsi="宋体" w:cs="Arial"/>
          <w:b/>
          <w:color w:val="000000" w:themeColor="text1"/>
          <w:szCs w:val="21"/>
          <w14:textFill>
            <w14:solidFill>
              <w14:schemeClr w14:val="tx1"/>
            </w14:solidFill>
          </w14:textFill>
        </w:rPr>
        <w:t>：</w:t>
      </w:r>
      <w:r>
        <w:rPr>
          <w:rFonts w:ascii="宋体" w:hAnsi="宋体" w:cs="Arial"/>
          <w:b/>
          <w:color w:val="000000" w:themeColor="text1"/>
          <w:szCs w:val="21"/>
          <w14:textFill>
            <w14:solidFill>
              <w14:schemeClr w14:val="tx1"/>
            </w14:solidFill>
          </w14:textFill>
        </w:rPr>
        <w:t xml:space="preserve"> </w:t>
      </w:r>
    </w:p>
    <w:p>
      <w:pPr>
        <w:spacing w:line="500" w:lineRule="exact"/>
        <w:rPr>
          <w:rFonts w:ascii="宋体" w:hAnsi="宋体" w:cs="Arial"/>
          <w:color w:val="000000" w:themeColor="text1"/>
          <w:szCs w:val="21"/>
          <w14:textFill>
            <w14:solidFill>
              <w14:schemeClr w14:val="tx1"/>
            </w14:solidFill>
          </w14:textFill>
        </w:rPr>
      </w:pPr>
      <w:bookmarkStart w:id="20" w:name="_Toc9010"/>
      <w:bookmarkStart w:id="21" w:name="_Toc12596"/>
      <w:bookmarkStart w:id="22" w:name="_Toc8996"/>
      <w:r>
        <w:rPr>
          <w:rFonts w:hint="eastAsia" w:ascii="宋体" w:hAnsi="宋体"/>
          <w:color w:val="000000" w:themeColor="text1"/>
          <w14:textFill>
            <w14:solidFill>
              <w14:schemeClr w14:val="tx1"/>
            </w14:solidFill>
          </w14:textFill>
        </w:rPr>
        <w:t xml:space="preserve"> </w:t>
      </w:r>
      <w:bookmarkEnd w:id="20"/>
      <w:bookmarkEnd w:id="21"/>
      <w:bookmarkEnd w:id="22"/>
      <w:r>
        <w:rPr>
          <w:rFonts w:hint="eastAsia" w:ascii="宋体" w:hAnsi="宋体" w:cs="Arial"/>
          <w:b/>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3.1 投标人资格要求详见竞争性谈判公告。</w:t>
      </w:r>
    </w:p>
    <w:p>
      <w:pPr>
        <w:spacing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3.2 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numPr>
          <w:ilvl w:val="0"/>
          <w:numId w:val="4"/>
        </w:numPr>
        <w:spacing w:line="54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投标人参与谈判活动的</w:t>
      </w:r>
      <w:r>
        <w:rPr>
          <w:rFonts w:ascii="宋体" w:hAnsi="宋体" w:cs="Arial"/>
          <w:b/>
          <w:color w:val="000000" w:themeColor="text1"/>
          <w:szCs w:val="21"/>
          <w14:textFill>
            <w14:solidFill>
              <w14:schemeClr w14:val="tx1"/>
            </w14:solidFill>
          </w14:textFill>
        </w:rPr>
        <w:t>费用</w:t>
      </w:r>
    </w:p>
    <w:p>
      <w:pPr>
        <w:spacing w:line="540" w:lineRule="exact"/>
        <w:ind w:firstLine="499" w:firstLineChars="238"/>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必须自行承担所有与参加</w:t>
      </w:r>
      <w:r>
        <w:rPr>
          <w:rFonts w:hint="eastAsia" w:ascii="宋体" w:hAnsi="宋体" w:cs="Arial"/>
          <w:color w:val="000000" w:themeColor="text1"/>
          <w:szCs w:val="21"/>
          <w14:textFill>
            <w14:solidFill>
              <w14:schemeClr w14:val="tx1"/>
            </w14:solidFill>
          </w14:textFill>
        </w:rPr>
        <w:t>政府采购活动</w:t>
      </w:r>
      <w:r>
        <w:rPr>
          <w:rFonts w:ascii="宋体" w:hAnsi="宋体" w:cs="Arial"/>
          <w:color w:val="000000" w:themeColor="text1"/>
          <w:szCs w:val="21"/>
          <w14:textFill>
            <w14:solidFill>
              <w14:schemeClr w14:val="tx1"/>
            </w14:solidFill>
          </w14:textFill>
        </w:rPr>
        <w:t>的有关费用。不论结果如何，</w:t>
      </w:r>
      <w:r>
        <w:rPr>
          <w:rFonts w:hint="eastAsia" w:ascii="宋体" w:hAnsi="宋体" w:cs="Arial"/>
          <w:color w:val="000000" w:themeColor="text1"/>
          <w:szCs w:val="21"/>
          <w14:textFill>
            <w14:solidFill>
              <w14:schemeClr w14:val="tx1"/>
            </w14:solidFill>
          </w14:textFill>
        </w:rPr>
        <w:t>采购单位</w:t>
      </w:r>
      <w:r>
        <w:rPr>
          <w:rFonts w:ascii="宋体" w:hAnsi="宋体" w:cs="Arial"/>
          <w:color w:val="000000" w:themeColor="text1"/>
          <w:szCs w:val="21"/>
          <w14:textFill>
            <w14:solidFill>
              <w14:schemeClr w14:val="tx1"/>
            </w14:solidFill>
          </w14:textFill>
        </w:rPr>
        <w:t>在任何情况下均无义务和责任承担这些费用。</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5、保密</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6、语言文字</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谈判及谈判响应文件使用的语言文字、</w:t>
      </w:r>
      <w:r>
        <w:rPr>
          <w:rFonts w:ascii="宋体" w:hAnsi="宋体" w:cs="Arial"/>
          <w:color w:val="000000" w:themeColor="text1"/>
          <w:szCs w:val="21"/>
          <w14:textFill>
            <w14:solidFill>
              <w14:schemeClr w14:val="tx1"/>
            </w14:solidFill>
          </w14:textFill>
        </w:rPr>
        <w:t>以及投标人与采购</w:t>
      </w:r>
      <w:r>
        <w:rPr>
          <w:rFonts w:hint="eastAsia" w:ascii="宋体" w:hAnsi="宋体" w:cs="Arial"/>
          <w:color w:val="000000" w:themeColor="text1"/>
          <w:szCs w:val="21"/>
          <w14:textFill>
            <w14:solidFill>
              <w14:schemeClr w14:val="tx1"/>
            </w14:solidFill>
          </w14:textFill>
        </w:rPr>
        <w:t>单位</w:t>
      </w:r>
      <w:r>
        <w:rPr>
          <w:rFonts w:ascii="宋体" w:hAnsi="宋体" w:cs="Arial"/>
          <w:color w:val="000000" w:themeColor="text1"/>
          <w:szCs w:val="21"/>
          <w14:textFill>
            <w14:solidFill>
              <w14:schemeClr w14:val="tx1"/>
            </w14:solidFill>
          </w14:textFill>
        </w:rPr>
        <w:t>就投标</w:t>
      </w:r>
      <w:r>
        <w:rPr>
          <w:rFonts w:hint="eastAsia" w:ascii="宋体" w:hAnsi="宋体" w:cs="Arial"/>
          <w:color w:val="000000" w:themeColor="text1"/>
          <w:szCs w:val="21"/>
          <w14:textFill>
            <w14:solidFill>
              <w14:schemeClr w14:val="tx1"/>
            </w14:solidFill>
          </w14:textFill>
        </w:rPr>
        <w:t>相关事项</w:t>
      </w:r>
      <w:r>
        <w:rPr>
          <w:rFonts w:ascii="宋体" w:hAnsi="宋体" w:cs="Arial"/>
          <w:color w:val="000000" w:themeColor="text1"/>
          <w:szCs w:val="21"/>
          <w14:textFill>
            <w14:solidFill>
              <w14:schemeClr w14:val="tx1"/>
            </w14:solidFill>
          </w14:textFill>
        </w:rPr>
        <w:t>的所有往来函电</w:t>
      </w:r>
      <w:r>
        <w:rPr>
          <w:rFonts w:hint="eastAsia" w:ascii="宋体" w:hAnsi="宋体" w:cs="Arial"/>
          <w:color w:val="000000" w:themeColor="text1"/>
          <w:szCs w:val="21"/>
          <w14:textFill>
            <w14:solidFill>
              <w14:schemeClr w14:val="tx1"/>
            </w14:solidFill>
          </w14:textFill>
        </w:rPr>
        <w:t>均须使用</w:t>
      </w:r>
      <w:r>
        <w:rPr>
          <w:rFonts w:hint="eastAsia" w:ascii="宋体" w:hAnsi="宋体"/>
          <w:color w:val="000000" w:themeColor="text1"/>
          <w14:textFill>
            <w14:solidFill>
              <w14:schemeClr w14:val="tx1"/>
            </w14:solidFill>
          </w14:textFill>
        </w:rPr>
        <w:t>简体中文（部分专用术语需使用外文的除外）。</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7、计量单位</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8、勘察现场</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采购单位根据项目的具体情况，可以组织潜在投标人现场考察或者召开开标前答疑会，但不得单独或者分别组织只有一个投标人参加的现场考察。</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9、偏离</w:t>
      </w:r>
    </w:p>
    <w:p>
      <w:pPr>
        <w:spacing w:line="540" w:lineRule="exact"/>
        <w:ind w:firstLine="499" w:firstLineChars="238"/>
        <w:rPr>
          <w:rFonts w:ascii="宋体" w:hAnsi="宋体" w:cs="Arial"/>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谈判文件允许谈判响应文件偏离某些要求的，偏离应当符合谈判文件规定的偏离范围和幅度。</w:t>
      </w:r>
    </w:p>
    <w:p>
      <w:pPr>
        <w:pStyle w:val="117"/>
        <w:rPr>
          <w:color w:val="000000" w:themeColor="text1"/>
          <w14:textFill>
            <w14:solidFill>
              <w14:schemeClr w14:val="tx1"/>
            </w14:solidFill>
          </w14:textFill>
        </w:rPr>
      </w:pPr>
      <w:bookmarkStart w:id="23" w:name="_Toc518654912"/>
      <w:r>
        <w:rPr>
          <w:color w:val="000000" w:themeColor="text1"/>
          <w14:textFill>
            <w14:solidFill>
              <w14:schemeClr w14:val="tx1"/>
            </w14:solidFill>
          </w14:textFill>
        </w:rPr>
        <w:t>二</w:t>
      </w:r>
      <w:r>
        <w:rPr>
          <w:rFonts w:hint="eastAsia"/>
          <w:color w:val="000000" w:themeColor="text1"/>
          <w14:textFill>
            <w14:solidFill>
              <w14:schemeClr w14:val="tx1"/>
            </w14:solidFill>
          </w14:textFill>
        </w:rPr>
        <w:t>、竞争性谈判文件</w:t>
      </w:r>
      <w:bookmarkEnd w:id="23"/>
    </w:p>
    <w:p>
      <w:pPr>
        <w:numPr>
          <w:ilvl w:val="1"/>
          <w:numId w:val="5"/>
        </w:numPr>
        <w:spacing w:line="540" w:lineRule="exac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竞争性谈判文件构成</w:t>
      </w:r>
    </w:p>
    <w:p>
      <w:pPr>
        <w:tabs>
          <w:tab w:val="left" w:pos="720"/>
        </w:tabs>
        <w:spacing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10.1</w:t>
      </w:r>
      <w:r>
        <w:rPr>
          <w:rFonts w:ascii="宋体" w:hAnsi="宋体" w:cs="Arial"/>
          <w:color w:val="000000" w:themeColor="text1"/>
          <w:szCs w:val="21"/>
          <w14:textFill>
            <w14:solidFill>
              <w14:schemeClr w14:val="tx1"/>
            </w14:solidFill>
          </w14:textFill>
        </w:rPr>
        <w:t>竞争性谈判文件包括：</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第一</w:t>
      </w:r>
      <w:r>
        <w:rPr>
          <w:rFonts w:hint="eastAsia" w:ascii="宋体" w:hAnsi="宋体" w:cs="Arial"/>
          <w:color w:val="000000" w:themeColor="text1"/>
          <w:szCs w:val="21"/>
          <w14:textFill>
            <w14:solidFill>
              <w14:schemeClr w14:val="tx1"/>
            </w14:solidFill>
          </w14:textFill>
        </w:rPr>
        <w:t>章 竞争性谈判公告</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第二章 投标人须知前附表</w:t>
      </w:r>
    </w:p>
    <w:p>
      <w:pPr>
        <w:spacing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第三章  货物服务要求</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项目要求</w:t>
      </w:r>
    </w:p>
    <w:p>
      <w:pPr>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第四章  </w:t>
      </w:r>
      <w:r>
        <w:rPr>
          <w:rFonts w:hint="eastAsia"/>
          <w:color w:val="000000" w:themeColor="text1"/>
          <w14:textFill>
            <w14:solidFill>
              <w14:schemeClr w14:val="tx1"/>
            </w14:solidFill>
          </w14:textFill>
        </w:rPr>
        <w:t>资格性和符合性评审表</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第五章  投标人须知</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第六章  合同格式</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第</w:t>
      </w:r>
      <w:r>
        <w:rPr>
          <w:rFonts w:hint="eastAsia" w:ascii="宋体" w:hAnsi="宋体" w:cs="Arial"/>
          <w:color w:val="000000" w:themeColor="text1"/>
          <w:szCs w:val="21"/>
          <w14:textFill>
            <w14:solidFill>
              <w14:schemeClr w14:val="tx1"/>
            </w14:solidFill>
          </w14:textFill>
        </w:rPr>
        <w:t>七章  谈判响应文件</w:t>
      </w:r>
    </w:p>
    <w:p>
      <w:pPr>
        <w:spacing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10.2投标人</w:t>
      </w:r>
      <w:r>
        <w:rPr>
          <w:rFonts w:ascii="宋体" w:hAnsi="宋体" w:cs="Arial"/>
          <w:color w:val="000000" w:themeColor="text1"/>
          <w:szCs w:val="21"/>
          <w14:textFill>
            <w14:solidFill>
              <w14:schemeClr w14:val="tx1"/>
            </w14:solidFill>
          </w14:textFill>
        </w:rPr>
        <w:t>应认真阅读和充分理解竞争性谈判文件中所有的内容。如果</w:t>
      </w:r>
      <w:r>
        <w:rPr>
          <w:rFonts w:hint="eastAsia" w:ascii="宋体" w:hAnsi="宋体" w:cs="Arial"/>
          <w:color w:val="000000" w:themeColor="text1"/>
          <w:szCs w:val="21"/>
          <w14:textFill>
            <w14:solidFill>
              <w14:schemeClr w14:val="tx1"/>
            </w14:solidFill>
          </w14:textFill>
        </w:rPr>
        <w:t>其</w:t>
      </w:r>
      <w:r>
        <w:rPr>
          <w:rFonts w:ascii="宋体" w:hAnsi="宋体" w:cs="Arial"/>
          <w:color w:val="000000" w:themeColor="text1"/>
          <w:szCs w:val="21"/>
          <w14:textFill>
            <w14:solidFill>
              <w14:schemeClr w14:val="tx1"/>
            </w14:solidFill>
          </w14:textFill>
        </w:rPr>
        <w:t>谈判</w:t>
      </w:r>
      <w:r>
        <w:rPr>
          <w:rFonts w:hint="eastAsia" w:ascii="宋体" w:hAnsi="宋体" w:cs="Arial"/>
          <w:color w:val="000000" w:themeColor="text1"/>
          <w:szCs w:val="21"/>
          <w14:textFill>
            <w14:solidFill>
              <w14:schemeClr w14:val="tx1"/>
            </w14:solidFill>
          </w14:textFill>
        </w:rPr>
        <w:t>响应文件</w:t>
      </w:r>
      <w:r>
        <w:rPr>
          <w:rFonts w:ascii="宋体" w:hAnsi="宋体" w:cs="Arial"/>
          <w:color w:val="000000" w:themeColor="text1"/>
          <w:szCs w:val="21"/>
          <w14:textFill>
            <w14:solidFill>
              <w14:schemeClr w14:val="tx1"/>
            </w14:solidFill>
          </w14:textFill>
        </w:rPr>
        <w:t>没有满足竞争性谈判文件的有关要求，其风险由</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自行承担。</w:t>
      </w:r>
    </w:p>
    <w:p>
      <w:pPr>
        <w:spacing w:beforeLines="30" w:afterLines="30" w:line="540" w:lineRule="exact"/>
        <w:ind w:left="517"/>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11、</w:t>
      </w:r>
      <w:r>
        <w:rPr>
          <w:rFonts w:ascii="宋体" w:hAnsi="宋体" w:cs="Arial"/>
          <w:b/>
          <w:color w:val="000000" w:themeColor="text1"/>
          <w:szCs w:val="21"/>
          <w14:textFill>
            <w14:solidFill>
              <w14:schemeClr w14:val="tx1"/>
            </w14:solidFill>
          </w14:textFill>
        </w:rPr>
        <w:t>竞争性谈判文件的澄清</w:t>
      </w:r>
      <w:r>
        <w:rPr>
          <w:rFonts w:hint="eastAsia" w:ascii="宋体" w:hAnsi="宋体" w:cs="Arial"/>
          <w:b/>
          <w:color w:val="000000" w:themeColor="text1"/>
          <w:szCs w:val="21"/>
          <w14:textFill>
            <w14:solidFill>
              <w14:schemeClr w14:val="tx1"/>
            </w14:solidFill>
          </w14:textFill>
        </w:rPr>
        <w:t>和修改</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11.1投标人可以</w:t>
      </w:r>
      <w:r>
        <w:rPr>
          <w:rFonts w:ascii="宋体" w:hAnsi="宋体" w:cs="Arial"/>
          <w:color w:val="000000" w:themeColor="text1"/>
          <w:szCs w:val="21"/>
          <w14:textFill>
            <w14:solidFill>
              <w14:schemeClr w14:val="tx1"/>
            </w14:solidFill>
          </w14:textFill>
        </w:rPr>
        <w:t>要求</w:t>
      </w:r>
      <w:r>
        <w:rPr>
          <w:rFonts w:hint="eastAsia" w:ascii="宋体" w:hAnsi="宋体" w:cs="Arial"/>
          <w:color w:val="000000" w:themeColor="text1"/>
          <w:szCs w:val="21"/>
          <w14:textFill>
            <w14:solidFill>
              <w14:schemeClr w14:val="tx1"/>
            </w14:solidFill>
          </w14:textFill>
        </w:rPr>
        <w:t>采购单位</w:t>
      </w:r>
      <w:r>
        <w:rPr>
          <w:rFonts w:ascii="宋体" w:hAnsi="宋体" w:cs="Arial"/>
          <w:color w:val="000000" w:themeColor="text1"/>
          <w:szCs w:val="21"/>
          <w14:textFill>
            <w14:solidFill>
              <w14:schemeClr w14:val="tx1"/>
            </w14:solidFill>
          </w14:textFill>
        </w:rPr>
        <w:t>对竞争性谈判文件中的有关问题进行答疑、澄清。</w:t>
      </w:r>
    </w:p>
    <w:p>
      <w:pPr>
        <w:spacing w:beforeLines="30" w:afterLines="30" w:line="540" w:lineRule="exact"/>
        <w:ind w:firstLine="525" w:firstLineChars="250"/>
        <w:rPr>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采购人、代理机构或者谈判小组在</w:t>
      </w:r>
      <w:r>
        <w:rPr>
          <w:rFonts w:hint="eastAsia"/>
          <w:color w:val="000000" w:themeColor="text1"/>
          <w14:textFill>
            <w14:solidFill>
              <w14:schemeClr w14:val="tx1"/>
            </w14:solidFill>
          </w14:textFill>
        </w:rPr>
        <w:t>提交谈判响应文件截止时间前</w:t>
      </w:r>
      <w:r>
        <w:rPr>
          <w:rFonts w:hint="eastAsia" w:ascii="宋体" w:hAnsi="宋体"/>
          <w:color w:val="000000" w:themeColor="text1"/>
          <w14:textFill>
            <w14:solidFill>
              <w14:schemeClr w14:val="tx1"/>
            </w14:solidFill>
          </w14:textFill>
        </w:rPr>
        <w:t>可以对已发出的竞争性谈判文件进行必要的澄清或者修改，澄清或修改将在</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交易平台所在地交易中心门户网</w:t>
      </w:r>
      <w:r>
        <w:rPr>
          <w:rFonts w:hint="eastAsia" w:ascii="宋体" w:hAnsi="宋体"/>
          <w:color w:val="000000" w:themeColor="text1"/>
          <w14:textFill>
            <w14:solidFill>
              <w14:schemeClr w14:val="tx1"/>
            </w14:solidFill>
          </w14:textFill>
        </w:rPr>
        <w:t>答疑澄清栏中公布，但不指明问题的来源，所有潜在投标人均有义务自行查看该澄清或修改的内容。采购人、代理机构或者谈判小组</w:t>
      </w:r>
      <w:r>
        <w:rPr>
          <w:rFonts w:hint="eastAsia" w:ascii="宋体" w:hAnsi="宋体" w:cs="Arial"/>
          <w:color w:val="000000" w:themeColor="text1"/>
          <w:szCs w:val="21"/>
          <w14:textFill>
            <w14:solidFill>
              <w14:schemeClr w14:val="tx1"/>
            </w14:solidFill>
          </w14:textFill>
        </w:rPr>
        <w:t>对竞争性谈判文件进行</w:t>
      </w:r>
      <w:r>
        <w:rPr>
          <w:rFonts w:hint="eastAsia"/>
          <w:color w:val="000000" w:themeColor="text1"/>
          <w14:textFill>
            <w14:solidFill>
              <w14:schemeClr w14:val="tx1"/>
            </w14:solidFill>
          </w14:textFill>
        </w:rPr>
        <w:t>澄清或者修改的内容作为谈判文件的组成部分，澄清或者修改的内容可能影响响应文件编制的，</w:t>
      </w:r>
      <w:r>
        <w:rPr>
          <w:rFonts w:hint="eastAsia" w:ascii="宋体" w:hAnsi="宋体"/>
          <w:color w:val="000000" w:themeColor="text1"/>
          <w14:textFill>
            <w14:solidFill>
              <w14:schemeClr w14:val="tx1"/>
            </w14:solidFill>
          </w14:textFill>
        </w:rPr>
        <w:t>采购人、代理机构或者谈判小组</w:t>
      </w:r>
      <w:r>
        <w:rPr>
          <w:rFonts w:hint="eastAsia"/>
          <w:color w:val="000000" w:themeColor="text1"/>
          <w14:textFill>
            <w14:solidFill>
              <w14:schemeClr w14:val="tx1"/>
            </w14:solidFill>
          </w14:textFill>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12、</w:t>
      </w:r>
      <w:r>
        <w:rPr>
          <w:rFonts w:ascii="宋体" w:hAnsi="宋体" w:cs="Arial"/>
          <w:b/>
          <w:color w:val="000000" w:themeColor="text1"/>
          <w:szCs w:val="21"/>
          <w14:textFill>
            <w14:solidFill>
              <w14:schemeClr w14:val="tx1"/>
            </w14:solidFill>
          </w14:textFill>
        </w:rPr>
        <w:t>竞争性谈判文件的</w:t>
      </w:r>
      <w:r>
        <w:rPr>
          <w:rFonts w:hint="eastAsia" w:ascii="宋体" w:hAnsi="宋体"/>
          <w:b/>
          <w:bCs/>
          <w:color w:val="000000" w:themeColor="text1"/>
          <w14:textFill>
            <w14:solidFill>
              <w14:schemeClr w14:val="tx1"/>
            </w14:solidFill>
          </w14:textFill>
        </w:rPr>
        <w:t>的质疑和答复</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12.1</w:t>
      </w:r>
      <w:r>
        <w:rPr>
          <w:rFonts w:ascii="Arial" w:hAnsi="Arial" w:cs="Arial"/>
          <w:color w:val="000000" w:themeColor="text1"/>
          <w14:textFill>
            <w14:solidFill>
              <w14:schemeClr w14:val="tx1"/>
            </w14:solidFill>
          </w14:textFill>
        </w:rPr>
        <w:t>潜在投标人已依法获取</w:t>
      </w:r>
      <w:r>
        <w:rPr>
          <w:rFonts w:hint="eastAsia" w:ascii="Arial" w:hAnsi="Arial" w:cs="Arial"/>
          <w:color w:val="000000" w:themeColor="text1"/>
          <w14:textFill>
            <w14:solidFill>
              <w14:schemeClr w14:val="tx1"/>
            </w14:solidFill>
          </w14:textFill>
        </w:rPr>
        <w:t>本谈判</w:t>
      </w:r>
      <w:r>
        <w:rPr>
          <w:rFonts w:ascii="Arial" w:hAnsi="Arial" w:cs="Arial"/>
          <w:color w:val="000000" w:themeColor="text1"/>
          <w14:textFill>
            <w14:solidFill>
              <w14:schemeClr w14:val="tx1"/>
            </w14:solidFill>
          </w14:textFill>
        </w:rPr>
        <w:t>文件的</w:t>
      </w:r>
      <w:r>
        <w:rPr>
          <w:rFonts w:hint="eastAsia" w:ascii="Arial" w:hAnsi="Arial" w:cs="Arial"/>
          <w:color w:val="000000" w:themeColor="text1"/>
          <w14:textFill>
            <w14:solidFill>
              <w14:schemeClr w14:val="tx1"/>
            </w14:solidFill>
          </w14:textFill>
        </w:rPr>
        <w:t>（应提供依法获取谈判文件的证明材料）</w:t>
      </w:r>
      <w:r>
        <w:rPr>
          <w:rFonts w:ascii="Arial" w:hAnsi="Arial" w:cs="Arial"/>
          <w:color w:val="000000" w:themeColor="text1"/>
          <w14:textFill>
            <w14:solidFill>
              <w14:schemeClr w14:val="tx1"/>
            </w14:solidFill>
          </w14:textFill>
        </w:rPr>
        <w:t>，可以对</w:t>
      </w:r>
      <w:r>
        <w:rPr>
          <w:rFonts w:hint="eastAsia" w:ascii="Arial" w:hAnsi="Arial" w:cs="Arial"/>
          <w:color w:val="000000" w:themeColor="text1"/>
          <w14:textFill>
            <w14:solidFill>
              <w14:schemeClr w14:val="tx1"/>
            </w14:solidFill>
          </w14:textFill>
        </w:rPr>
        <w:t>本谈判</w:t>
      </w:r>
      <w:r>
        <w:rPr>
          <w:rFonts w:ascii="Arial" w:hAnsi="Arial" w:cs="Arial"/>
          <w:color w:val="000000" w:themeColor="text1"/>
          <w14:textFill>
            <w14:solidFill>
              <w14:schemeClr w14:val="tx1"/>
            </w14:solidFill>
          </w14:textFill>
        </w:rPr>
        <w:t>文件提出质疑。</w:t>
      </w:r>
      <w:r>
        <w:rPr>
          <w:rFonts w:hint="eastAsia" w:ascii="Arial" w:hAnsi="Arial" w:cs="Arial"/>
          <w:color w:val="000000" w:themeColor="text1"/>
          <w14:textFill>
            <w14:solidFill>
              <w14:schemeClr w14:val="tx1"/>
            </w14:solidFill>
          </w14:textFill>
        </w:rPr>
        <w:t>质疑</w:t>
      </w:r>
      <w:r>
        <w:rPr>
          <w:rFonts w:ascii="Arial" w:hAnsi="Arial" w:cs="Arial"/>
          <w:color w:val="000000" w:themeColor="text1"/>
          <w14:textFill>
            <w14:solidFill>
              <w14:schemeClr w14:val="tx1"/>
            </w14:solidFill>
          </w14:textFill>
        </w:rPr>
        <w:t>应当在获取</w:t>
      </w:r>
      <w:r>
        <w:rPr>
          <w:rFonts w:hint="eastAsia" w:ascii="Arial" w:hAnsi="Arial" w:cs="Arial"/>
          <w:color w:val="000000" w:themeColor="text1"/>
          <w14:textFill>
            <w14:solidFill>
              <w14:schemeClr w14:val="tx1"/>
            </w14:solidFill>
          </w14:textFill>
        </w:rPr>
        <w:t>谈判</w:t>
      </w:r>
      <w:r>
        <w:rPr>
          <w:rFonts w:ascii="Arial" w:hAnsi="Arial" w:cs="Arial"/>
          <w:color w:val="000000" w:themeColor="text1"/>
          <w14:textFill>
            <w14:solidFill>
              <w14:schemeClr w14:val="tx1"/>
            </w14:solidFill>
          </w14:textFill>
        </w:rPr>
        <w:t>文件或者</w:t>
      </w:r>
      <w:r>
        <w:rPr>
          <w:rFonts w:hint="eastAsia" w:ascii="Arial" w:hAnsi="Arial" w:cs="Arial"/>
          <w:color w:val="000000" w:themeColor="text1"/>
          <w14:textFill>
            <w14:solidFill>
              <w14:schemeClr w14:val="tx1"/>
            </w14:solidFill>
          </w14:textFill>
        </w:rPr>
        <w:t>谈判</w:t>
      </w:r>
      <w:r>
        <w:rPr>
          <w:rFonts w:ascii="Arial" w:hAnsi="Arial" w:cs="Arial"/>
          <w:color w:val="000000" w:themeColor="text1"/>
          <w14:textFill>
            <w14:solidFill>
              <w14:schemeClr w14:val="tx1"/>
            </w14:solidFill>
          </w14:textFill>
        </w:rPr>
        <w:t>文件公告期限届满之日起7个工作日内</w:t>
      </w:r>
      <w:r>
        <w:rPr>
          <w:rFonts w:hint="eastAsia" w:ascii="Verdana" w:hAnsi="Verdana"/>
          <w:color w:val="000000" w:themeColor="text1"/>
          <w14:textFill>
            <w14:solidFill>
              <w14:schemeClr w14:val="tx1"/>
            </w14:solidFill>
          </w14:textFill>
        </w:rPr>
        <w:t>以书面形式向采购人或代理机构提出，质疑函的内容应包括</w:t>
      </w:r>
      <w:r>
        <w:rPr>
          <w:rFonts w:ascii="Arial" w:hAnsi="Arial" w:cs="Arial"/>
          <w:color w:val="000000" w:themeColor="text1"/>
          <w14:textFill>
            <w14:solidFill>
              <w14:schemeClr w14:val="tx1"/>
            </w14:solidFill>
          </w14:textFill>
        </w:rPr>
        <w:t>《政府采购质疑和投诉办法》</w:t>
      </w:r>
      <w:r>
        <w:rPr>
          <w:rFonts w:hint="eastAsia" w:ascii="Arial" w:hAnsi="Arial" w:cs="Arial"/>
          <w:color w:val="000000" w:themeColor="text1"/>
          <w14:textFill>
            <w14:solidFill>
              <w14:schemeClr w14:val="tx1"/>
            </w14:solidFill>
          </w14:textFill>
        </w:rPr>
        <w:t>（财政部令第94号）第十二条规定的内容，质疑函的格式可参照</w:t>
      </w:r>
      <w:r>
        <w:rPr>
          <w:rFonts w:hint="eastAsia" w:ascii="宋体" w:hAnsi="宋体"/>
          <w:color w:val="000000" w:themeColor="text1"/>
          <w14:textFill>
            <w14:solidFill>
              <w14:schemeClr w14:val="tx1"/>
            </w14:solidFill>
          </w14:textFill>
        </w:rPr>
        <w:t>黄山市公共资源交易中心门户网站办事流程--资料下载中的质疑函范本</w:t>
      </w:r>
      <w:r>
        <w:rPr>
          <w:rFonts w:hint="eastAsia" w:ascii="Arial" w:hAnsi="Arial" w:cs="Arial"/>
          <w:color w:val="000000" w:themeColor="text1"/>
          <w14:textFill>
            <w14:solidFill>
              <w14:schemeClr w14:val="tx1"/>
            </w14:solidFill>
          </w14:textFill>
        </w:rPr>
        <w:t>。</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12.2投标人对谈判文件有质疑的，应</w:t>
      </w:r>
      <w:r>
        <w:rPr>
          <w:rFonts w:ascii="Arial" w:hAnsi="Arial" w:cs="Arial"/>
          <w:color w:val="000000" w:themeColor="text1"/>
          <w14:textFill>
            <w14:solidFill>
              <w14:schemeClr w14:val="tx1"/>
            </w14:solidFill>
          </w14:textFill>
        </w:rPr>
        <w:t>在法定质疑期内一次性提出</w:t>
      </w:r>
      <w:r>
        <w:rPr>
          <w:rFonts w:hint="eastAsia" w:ascii="Arial" w:hAnsi="Arial" w:cs="Arial"/>
          <w:color w:val="000000" w:themeColor="text1"/>
          <w14:textFill>
            <w14:solidFill>
              <w14:schemeClr w14:val="tx1"/>
            </w14:solidFill>
          </w14:textFill>
        </w:rPr>
        <w:t>，采购人或代理机构不再接受同一投标人针对同一谈判文件提出的再次质疑（对同一质疑的补充除外）。</w:t>
      </w:r>
    </w:p>
    <w:p>
      <w:pPr>
        <w:pStyle w:val="108"/>
        <w:spacing w:beforeLines="30" w:afterLines="30"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w:t>
      </w:r>
      <w:r>
        <w:rPr>
          <w:rFonts w:ascii="宋体" w:hAnsi="宋体"/>
          <w:color w:val="000000" w:themeColor="text1"/>
          <w14:textFill>
            <w14:solidFill>
              <w14:schemeClr w14:val="tx1"/>
            </w14:solidFill>
          </w14:textFill>
        </w:rPr>
        <w:t>应当</w:t>
      </w: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收到</w:t>
      </w:r>
      <w:r>
        <w:rPr>
          <w:rFonts w:hint="eastAsia" w:ascii="宋体" w:hAnsi="宋体"/>
          <w:color w:val="000000" w:themeColor="text1"/>
          <w14:textFill>
            <w14:solidFill>
              <w14:schemeClr w14:val="tx1"/>
            </w14:solidFill>
          </w14:textFill>
        </w:rPr>
        <w:t>质疑后7个工作</w:t>
      </w:r>
      <w:r>
        <w:rPr>
          <w:rFonts w:ascii="宋体" w:hAnsi="宋体"/>
          <w:color w:val="000000" w:themeColor="text1"/>
          <w14:textFill>
            <w14:solidFill>
              <w14:schemeClr w14:val="tx1"/>
            </w14:solidFill>
          </w14:textFill>
        </w:rPr>
        <w:t>日内作出答复。</w:t>
      </w:r>
      <w:r>
        <w:rPr>
          <w:rFonts w:hint="eastAsia" w:ascii="宋体" w:hAnsi="宋体"/>
          <w:color w:val="000000" w:themeColor="text1"/>
          <w14:textFill>
            <w14:solidFill>
              <w14:schemeClr w14:val="tx1"/>
            </w14:solidFill>
          </w14:textFill>
        </w:rPr>
        <w:t>答复内容将在</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交易平台所在地交易中心门户网</w:t>
      </w:r>
      <w:r>
        <w:rPr>
          <w:rFonts w:hint="eastAsia"/>
          <w:color w:val="000000" w:themeColor="text1"/>
          <w14:textFill>
            <w14:solidFill>
              <w14:schemeClr w14:val="tx1"/>
            </w14:solidFill>
          </w14:textFill>
        </w:rPr>
        <w:t>站</w:t>
      </w:r>
      <w:r>
        <w:rPr>
          <w:rFonts w:hint="eastAsia" w:ascii="宋体" w:hAnsi="宋体"/>
          <w:color w:val="000000" w:themeColor="text1"/>
          <w14:textFill>
            <w14:solidFill>
              <w14:schemeClr w14:val="tx1"/>
            </w14:solidFill>
          </w14:textFill>
        </w:rPr>
        <w:t>答疑澄清栏中公布，所有获取谈判文件的潜在投标人均有义务自行查看该答复内容。</w:t>
      </w:r>
    </w:p>
    <w:p>
      <w:pPr>
        <w:pStyle w:val="117"/>
        <w:rPr>
          <w:color w:val="000000" w:themeColor="text1"/>
          <w14:textFill>
            <w14:solidFill>
              <w14:schemeClr w14:val="tx1"/>
            </w14:solidFill>
          </w14:textFill>
        </w:rPr>
      </w:pPr>
      <w:bookmarkStart w:id="24" w:name="_Toc518654913"/>
      <w:r>
        <w:rPr>
          <w:color w:val="000000" w:themeColor="text1"/>
          <w14:textFill>
            <w14:solidFill>
              <w14:schemeClr w14:val="tx1"/>
            </w14:solidFill>
          </w14:textFill>
        </w:rPr>
        <w:t>三</w:t>
      </w:r>
      <w:r>
        <w:rPr>
          <w:rFonts w:hint="eastAsia"/>
          <w:color w:val="000000" w:themeColor="text1"/>
          <w14:textFill>
            <w14:solidFill>
              <w14:schemeClr w14:val="tx1"/>
            </w14:solidFill>
          </w14:textFill>
        </w:rPr>
        <w:t>、谈判响应文件的编制</w:t>
      </w:r>
      <w:bookmarkEnd w:id="24"/>
    </w:p>
    <w:p>
      <w:pPr>
        <w:spacing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13、</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构成</w:t>
      </w:r>
    </w:p>
    <w:p>
      <w:pPr>
        <w:tabs>
          <w:tab w:val="left" w:pos="0"/>
        </w:tabs>
        <w:spacing w:line="540" w:lineRule="exact"/>
        <w:ind w:firstLine="420" w:firstLineChars="200"/>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13.1谈判响应文件</w:t>
      </w:r>
      <w:r>
        <w:rPr>
          <w:rFonts w:hint="eastAsia" w:ascii="宋体" w:hAnsi="宋体" w:cs="Arial"/>
          <w:b/>
          <w:color w:val="000000" w:themeColor="text1"/>
          <w:szCs w:val="21"/>
          <w14:textFill>
            <w14:solidFill>
              <w14:schemeClr w14:val="tx1"/>
            </w14:solidFill>
          </w14:textFill>
        </w:rPr>
        <w:t>由商务技术标和价格标两部分组成。</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13.2商务技术标包括下列内容</w:t>
      </w:r>
      <w:r>
        <w:rPr>
          <w:rFonts w:hint="eastAsia" w:ascii="宋体" w:hAnsi="宋体" w:cs="Arial"/>
          <w:b/>
          <w:color w:val="000000" w:themeColor="text1"/>
          <w:szCs w:val="21"/>
          <w14:textFill>
            <w14:solidFill>
              <w14:schemeClr w14:val="tx1"/>
            </w14:solidFill>
          </w14:textFill>
        </w:rPr>
        <w:t>（不含报价、否则按无效标处理）</w:t>
      </w:r>
      <w:r>
        <w:rPr>
          <w:rFonts w:hint="eastAsia" w:ascii="宋体" w:hAnsi="宋体" w:cs="Arial"/>
          <w:color w:val="000000" w:themeColor="text1"/>
          <w:szCs w:val="21"/>
          <w14:textFill>
            <w14:solidFill>
              <w14:schemeClr w14:val="tx1"/>
            </w14:solidFill>
          </w14:textFill>
        </w:rPr>
        <w:t>：投标函格式、商务要求响应情况表、技术规格响应表、货物服务技术方案、资格证明文件等。</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13.2.1</w:t>
      </w:r>
      <w:r>
        <w:rPr>
          <w:rFonts w:ascii="宋体" w:hAnsi="宋体" w:cs="Arial"/>
          <w:color w:val="000000" w:themeColor="text1"/>
          <w:szCs w:val="21"/>
          <w14:textFill>
            <w14:solidFill>
              <w14:schemeClr w14:val="tx1"/>
            </w14:solidFill>
          </w14:textFill>
        </w:rPr>
        <w:t>证明</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合格的资格文件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应包括</w:t>
      </w:r>
      <w:r>
        <w:rPr>
          <w:rFonts w:hint="eastAsia" w:ascii="宋体" w:hAnsi="宋体" w:cs="Arial"/>
          <w:color w:val="000000" w:themeColor="text1"/>
          <w:szCs w:val="21"/>
          <w14:textFill>
            <w14:solidFill>
              <w14:schemeClr w14:val="tx1"/>
            </w14:solidFill>
          </w14:textFill>
        </w:rPr>
        <w:t>谈判文件要求的</w:t>
      </w:r>
      <w:r>
        <w:rPr>
          <w:rFonts w:ascii="宋体" w:hAnsi="宋体" w:cs="Arial"/>
          <w:color w:val="000000" w:themeColor="text1"/>
          <w:szCs w:val="21"/>
          <w14:textFill>
            <w14:solidFill>
              <w14:schemeClr w14:val="tx1"/>
            </w14:solidFill>
          </w14:textFill>
        </w:rPr>
        <w:t>证明其有资格参加</w:t>
      </w:r>
      <w:r>
        <w:rPr>
          <w:rFonts w:hint="eastAsia" w:ascii="宋体" w:hAnsi="宋体" w:cs="Arial"/>
          <w:color w:val="000000" w:themeColor="text1"/>
          <w:szCs w:val="21"/>
          <w14:textFill>
            <w14:solidFill>
              <w14:schemeClr w14:val="tx1"/>
            </w14:solidFill>
          </w14:textFill>
        </w:rPr>
        <w:t>谈判，以及</w:t>
      </w:r>
      <w:r>
        <w:rPr>
          <w:rFonts w:ascii="宋体" w:hAnsi="宋体" w:cs="Arial"/>
          <w:color w:val="000000" w:themeColor="text1"/>
          <w:szCs w:val="21"/>
          <w14:textFill>
            <w14:solidFill>
              <w14:schemeClr w14:val="tx1"/>
            </w14:solidFill>
          </w14:textFill>
        </w:rPr>
        <w:t>中标后有能力履行合同所必需的生产、技术、服务和财务管理等方面能力</w:t>
      </w:r>
      <w:r>
        <w:rPr>
          <w:rFonts w:hint="eastAsia" w:ascii="宋体" w:hAnsi="宋体" w:cs="Arial"/>
          <w:color w:val="000000" w:themeColor="text1"/>
          <w:szCs w:val="21"/>
          <w14:textFill>
            <w14:solidFill>
              <w14:schemeClr w14:val="tx1"/>
            </w14:solidFill>
          </w14:textFill>
        </w:rPr>
        <w:t>的证明文件。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13.2.2所有货物（包括零部件）须为全新的、未使用过的原装正品。</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13.3价格标包括下列内容：</w:t>
      </w:r>
      <w:r>
        <w:rPr>
          <w:rFonts w:hint="eastAsia" w:ascii="宋体" w:hAnsi="宋体"/>
          <w:color w:val="000000" w:themeColor="text1"/>
          <w:szCs w:val="21"/>
          <w14:textFill>
            <w14:solidFill>
              <w14:schemeClr w14:val="tx1"/>
            </w14:solidFill>
          </w14:textFill>
        </w:rPr>
        <w:t>已标价的工程量清单；投标报价需要的其他资料</w:t>
      </w:r>
      <w:r>
        <w:rPr>
          <w:rFonts w:hint="eastAsia" w:ascii="宋体" w:hAnsi="宋体" w:cs="Arial"/>
          <w:color w:val="000000" w:themeColor="text1"/>
          <w:szCs w:val="21"/>
          <w14:textFill>
            <w14:solidFill>
              <w14:schemeClr w14:val="tx1"/>
            </w14:solidFill>
          </w14:textFill>
        </w:rPr>
        <w:t>等。</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13.4投标人</w:t>
      </w:r>
      <w:r>
        <w:rPr>
          <w:rFonts w:ascii="宋体" w:hAnsi="宋体" w:cs="Arial"/>
          <w:color w:val="000000" w:themeColor="text1"/>
          <w:szCs w:val="21"/>
          <w14:textFill>
            <w14:solidFill>
              <w14:schemeClr w14:val="tx1"/>
            </w14:solidFill>
          </w14:textFill>
        </w:rPr>
        <w:t>必须对其</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响应</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的真实性与准确性负责。一旦中标，其</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响应</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将作为合同的重要组成部分。</w:t>
      </w:r>
      <w:r>
        <w:rPr>
          <w:rFonts w:hint="eastAsia" w:ascii="宋体" w:hAnsi="宋体" w:cs="Arial"/>
          <w:color w:val="000000" w:themeColor="text1"/>
          <w:szCs w:val="21"/>
          <w14:textFill>
            <w14:solidFill>
              <w14:schemeClr w14:val="tx1"/>
            </w14:solidFill>
          </w14:textFill>
        </w:rPr>
        <w:t xml:space="preserve"> </w:t>
      </w:r>
    </w:p>
    <w:p>
      <w:pPr>
        <w:numPr>
          <w:ilvl w:val="1"/>
          <w:numId w:val="6"/>
        </w:numPr>
        <w:tabs>
          <w:tab w:val="left" w:pos="0"/>
        </w:tabs>
        <w:spacing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投标人应在谈判响应文件中体现本文件要求的内容。</w:t>
      </w:r>
    </w:p>
    <w:p>
      <w:pPr>
        <w:spacing w:beforeLines="30" w:afterLines="30" w:line="540" w:lineRule="exact"/>
        <w:ind w:left="517"/>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14、谈判</w:t>
      </w:r>
      <w:r>
        <w:rPr>
          <w:rFonts w:ascii="宋体" w:hAnsi="宋体" w:cs="Arial"/>
          <w:b/>
          <w:color w:val="000000" w:themeColor="text1"/>
          <w:szCs w:val="21"/>
          <w14:textFill>
            <w14:solidFill>
              <w14:schemeClr w14:val="tx1"/>
            </w14:solidFill>
          </w14:textFill>
        </w:rPr>
        <w:t>报价</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14.1</w:t>
      </w:r>
      <w:permStart w:id="30" w:edGrp="everyone"/>
      <w:r>
        <w:rPr>
          <w:rFonts w:hint="eastAsia" w:ascii="宋体" w:hAnsi="宋体" w:cs="Arial"/>
          <w:color w:val="000000" w:themeColor="text1"/>
          <w:szCs w:val="21"/>
          <w14:textFill>
            <w14:solidFill>
              <w14:schemeClr w14:val="tx1"/>
            </w14:solidFill>
          </w14:textFill>
        </w:rPr>
        <w:t>本项目只允许有一个方案、一个报价。多方案、多报价的响应文件将不被接受。</w:t>
      </w:r>
      <w:permEnd w:id="30"/>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14.2 服务类、工程类项目适用：</w:t>
      </w:r>
      <w:permStart w:id="31" w:edGrp="everyone"/>
      <w:r>
        <w:rPr>
          <w:rFonts w:hint="eastAsia" w:ascii="宋体" w:hAnsi="宋体" w:cs="Arial"/>
          <w:color w:val="000000" w:themeColor="text1"/>
          <w:szCs w:val="21"/>
          <w14:textFill>
            <w14:solidFill>
              <w14:schemeClr w14:val="tx1"/>
            </w14:solidFill>
          </w14:textFill>
        </w:rPr>
        <w:t>价格标的开标一览表中的投标总报价应包括完成本项目的所有费用、税费、专家评审费等所有费用，即为履行合同的最终价格。</w:t>
      </w:r>
    </w:p>
    <w:permEnd w:id="31"/>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14.3服务类、工程类项目适用：</w:t>
      </w:r>
      <w:permStart w:id="32" w:edGrp="everyone"/>
      <w:r>
        <w:rPr>
          <w:rFonts w:hint="eastAsia" w:ascii="宋体" w:hAnsi="宋体" w:cs="Arial"/>
          <w:color w:val="000000" w:themeColor="text1"/>
          <w:szCs w:val="21"/>
          <w14:textFill>
            <w14:solidFill>
              <w14:schemeClr w14:val="tx1"/>
            </w14:solidFill>
          </w14:textFill>
        </w:rPr>
        <w:t>价格标的服务分项报价表上应清楚地标明投标人拟提供的服务或工程费用等内容（</w:t>
      </w:r>
      <w:r>
        <w:rPr>
          <w:rFonts w:hint="eastAsia" w:ascii="宋体" w:hAnsi="宋体"/>
          <w:color w:val="000000" w:themeColor="text1"/>
          <w:szCs w:val="21"/>
          <w14:textFill>
            <w14:solidFill>
              <w14:schemeClr w14:val="tx1"/>
            </w14:solidFill>
          </w14:textFill>
        </w:rPr>
        <w:t>已标价的工程量清单；投标报价需要的其他资料等</w:t>
      </w:r>
      <w:r>
        <w:rPr>
          <w:rFonts w:hint="eastAsia" w:ascii="宋体" w:hAnsi="宋体" w:cs="Arial"/>
          <w:color w:val="000000" w:themeColor="text1"/>
          <w:szCs w:val="21"/>
          <w14:textFill>
            <w14:solidFill>
              <w14:schemeClr w14:val="tx1"/>
            </w14:solidFill>
          </w14:textFill>
        </w:rPr>
        <w:t>），其合计价格应与开标一览表中的投标总报价保持一致。</w:t>
      </w:r>
      <w:permEnd w:id="32"/>
    </w:p>
    <w:p>
      <w:pPr>
        <w:spacing w:beforeLines="30" w:afterLines="30" w:line="540" w:lineRule="exact"/>
        <w:ind w:left="359" w:leftChars="171" w:firstLine="210" w:firstLineChars="1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14.4投标人投标的</w:t>
      </w:r>
      <w:r>
        <w:rPr>
          <w:rFonts w:ascii="宋体" w:hAnsi="宋体" w:cs="Arial"/>
          <w:color w:val="000000" w:themeColor="text1"/>
          <w:szCs w:val="21"/>
          <w14:textFill>
            <w14:solidFill>
              <w14:schemeClr w14:val="tx1"/>
            </w14:solidFill>
          </w14:textFill>
        </w:rPr>
        <w:t>货币为人民币。</w:t>
      </w:r>
    </w:p>
    <w:p>
      <w:pPr>
        <w:spacing w:beforeLines="30" w:afterLines="30" w:line="540" w:lineRule="exact"/>
        <w:ind w:left="568"/>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15、谈判</w:t>
      </w:r>
      <w:r>
        <w:rPr>
          <w:rFonts w:ascii="宋体" w:hAnsi="宋体" w:cs="Arial"/>
          <w:b/>
          <w:color w:val="000000" w:themeColor="text1"/>
          <w:szCs w:val="21"/>
          <w14:textFill>
            <w14:solidFill>
              <w14:schemeClr w14:val="tx1"/>
            </w14:solidFill>
          </w14:textFill>
        </w:rPr>
        <w:t>有效期</w:t>
      </w:r>
    </w:p>
    <w:p>
      <w:pPr>
        <w:spacing w:beforeLines="30" w:afterLines="30" w:line="540" w:lineRule="exact"/>
        <w:ind w:firstLine="514" w:firstLineChars="245"/>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15.1谈判</w:t>
      </w:r>
      <w:r>
        <w:rPr>
          <w:rFonts w:ascii="宋体" w:hAnsi="宋体" w:cs="Arial"/>
          <w:color w:val="000000" w:themeColor="text1"/>
          <w:szCs w:val="21"/>
          <w14:textFill>
            <w14:solidFill>
              <w14:schemeClr w14:val="tx1"/>
            </w14:solidFill>
          </w14:textFill>
        </w:rPr>
        <w:t>有效期在“</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须知前附表”中有明确的规定。</w:t>
      </w:r>
      <w:r>
        <w:rPr>
          <w:rFonts w:hint="eastAsia" w:ascii="宋体" w:hAnsi="宋体" w:cs="Arial"/>
          <w:color w:val="000000" w:themeColor="text1"/>
          <w:szCs w:val="21"/>
          <w14:textFill>
            <w14:solidFill>
              <w14:schemeClr w14:val="tx1"/>
            </w14:solidFill>
          </w14:textFill>
        </w:rPr>
        <w:t>投标人如未就此提出异议，则视同接受；如</w:t>
      </w:r>
      <w:r>
        <w:rPr>
          <w:rFonts w:ascii="宋体" w:hAnsi="宋体" w:cs="Arial"/>
          <w:color w:val="000000" w:themeColor="text1"/>
          <w:szCs w:val="21"/>
          <w14:textFill>
            <w14:solidFill>
              <w14:schemeClr w14:val="tx1"/>
            </w14:solidFill>
          </w14:textFill>
        </w:rPr>
        <w:t>承诺的</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有效期短于此规定时间的，将被视为非响应性投标而予以拒绝。</w:t>
      </w:r>
    </w:p>
    <w:p>
      <w:pPr>
        <w:pStyle w:val="108"/>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ascii="宋体" w:hAnsi="宋体" w:cs="Arial"/>
          <w:color w:val="000000" w:themeColor="text1"/>
          <w14:textFill>
            <w14:solidFill>
              <w14:schemeClr w14:val="tx1"/>
            </w14:solidFill>
          </w14:textFill>
        </w:rPr>
        <w:t>在特殊情况下，采购单位可于原</w:t>
      </w:r>
      <w:r>
        <w:rPr>
          <w:rFonts w:hint="eastAsia" w:ascii="宋体" w:hAnsi="宋体" w:cs="Arial"/>
          <w:color w:val="000000" w:themeColor="text1"/>
          <w14:textFill>
            <w14:solidFill>
              <w14:schemeClr w14:val="tx1"/>
            </w14:solidFill>
          </w14:textFill>
        </w:rPr>
        <w:t>谈判</w:t>
      </w:r>
      <w:r>
        <w:rPr>
          <w:rFonts w:ascii="宋体" w:hAnsi="宋体" w:cs="Arial"/>
          <w:color w:val="000000" w:themeColor="text1"/>
          <w14:textFill>
            <w14:solidFill>
              <w14:schemeClr w14:val="tx1"/>
            </w14:solidFill>
          </w14:textFill>
        </w:rPr>
        <w:t>有效期满之前，向</w:t>
      </w:r>
      <w:r>
        <w:rPr>
          <w:rFonts w:hint="eastAsia" w:ascii="宋体" w:hAnsi="宋体" w:cs="Arial"/>
          <w:color w:val="000000" w:themeColor="text1"/>
          <w14:textFill>
            <w14:solidFill>
              <w14:schemeClr w14:val="tx1"/>
            </w14:solidFill>
          </w14:textFill>
        </w:rPr>
        <w:t>投标人</w:t>
      </w:r>
      <w:r>
        <w:rPr>
          <w:rFonts w:ascii="宋体" w:hAnsi="宋体" w:cs="Arial"/>
          <w:color w:val="000000" w:themeColor="text1"/>
          <w14:textFill>
            <w14:solidFill>
              <w14:schemeClr w14:val="tx1"/>
            </w14:solidFill>
          </w14:textFill>
        </w:rPr>
        <w:t>提出延长</w:t>
      </w:r>
      <w:r>
        <w:rPr>
          <w:rFonts w:hint="eastAsia" w:ascii="宋体" w:hAnsi="宋体" w:cs="Arial"/>
          <w:color w:val="000000" w:themeColor="text1"/>
          <w14:textFill>
            <w14:solidFill>
              <w14:schemeClr w14:val="tx1"/>
            </w14:solidFill>
          </w14:textFill>
        </w:rPr>
        <w:t>谈判</w:t>
      </w:r>
      <w:r>
        <w:rPr>
          <w:rFonts w:ascii="宋体" w:hAnsi="宋体" w:cs="Arial"/>
          <w:color w:val="000000" w:themeColor="text1"/>
          <w14:textFill>
            <w14:solidFill>
              <w14:schemeClr w14:val="tx1"/>
            </w14:solidFill>
          </w14:textFill>
        </w:rPr>
        <w:t>有效期的要求。</w:t>
      </w:r>
      <w:r>
        <w:rPr>
          <w:rFonts w:hint="eastAsia" w:ascii="宋体" w:hAnsi="宋体"/>
          <w:color w:val="000000" w:themeColor="text1"/>
          <w14:textFill>
            <w14:solidFill>
              <w14:schemeClr w14:val="tx1"/>
            </w14:solidFill>
          </w14:textFill>
        </w:rPr>
        <w:t>投标人同意延长的，应相应延长其谈判保证金的有效期，但不得要求或被允许修改或撤销其谈判响应文件。投标人拒绝延长的</w:t>
      </w:r>
      <w:r>
        <w:rPr>
          <w:rFonts w:hint="eastAsia" w:ascii="宋体" w:hAnsi="宋体" w:cs="Arial"/>
          <w:color w:val="000000" w:themeColor="text1"/>
          <w14:textFill>
            <w14:solidFill>
              <w14:schemeClr w14:val="tx1"/>
            </w14:solidFill>
          </w14:textFill>
        </w:rPr>
        <w:t>，</w:t>
      </w:r>
      <w:r>
        <w:rPr>
          <w:rFonts w:ascii="宋体" w:hAnsi="宋体" w:cs="Arial"/>
          <w:color w:val="000000" w:themeColor="text1"/>
          <w14:textFill>
            <w14:solidFill>
              <w14:schemeClr w14:val="tx1"/>
            </w14:solidFill>
          </w14:textFill>
        </w:rPr>
        <w:t>可以</w:t>
      </w:r>
      <w:r>
        <w:rPr>
          <w:rFonts w:hint="eastAsia" w:ascii="宋体" w:hAnsi="宋体" w:cs="Arial"/>
          <w:color w:val="000000" w:themeColor="text1"/>
          <w14:textFill>
            <w14:solidFill>
              <w14:schemeClr w14:val="tx1"/>
            </w14:solidFill>
          </w14:textFill>
        </w:rPr>
        <w:t>书面形式</w:t>
      </w:r>
      <w:r>
        <w:rPr>
          <w:rFonts w:ascii="宋体" w:hAnsi="宋体" w:cs="Arial"/>
          <w:color w:val="000000" w:themeColor="text1"/>
          <w14:textFill>
            <w14:solidFill>
              <w14:schemeClr w14:val="tx1"/>
            </w14:solidFill>
          </w14:textFill>
        </w:rPr>
        <w:t>拒绝采购单位的这种要求而不失去其</w:t>
      </w:r>
      <w:r>
        <w:rPr>
          <w:rFonts w:hint="eastAsia" w:ascii="宋体" w:hAnsi="宋体" w:cs="Arial"/>
          <w:color w:val="000000" w:themeColor="text1"/>
          <w14:textFill>
            <w14:solidFill>
              <w14:schemeClr w14:val="tx1"/>
            </w14:solidFill>
          </w14:textFill>
        </w:rPr>
        <w:t>谈判</w:t>
      </w:r>
      <w:r>
        <w:rPr>
          <w:rFonts w:ascii="宋体" w:hAnsi="宋体" w:cs="Arial"/>
          <w:color w:val="000000" w:themeColor="text1"/>
          <w14:textFill>
            <w14:solidFill>
              <w14:schemeClr w14:val="tx1"/>
            </w14:solidFill>
          </w14:textFill>
        </w:rPr>
        <w:t>保证金。</w:t>
      </w:r>
      <w:r>
        <w:rPr>
          <w:rFonts w:hint="eastAsia" w:ascii="宋体" w:hAnsi="宋体" w:cs="Arial"/>
          <w:color w:val="000000" w:themeColor="text1"/>
          <w14:textFill>
            <w14:solidFill>
              <w14:schemeClr w14:val="tx1"/>
            </w14:solidFill>
          </w14:textFill>
        </w:rPr>
        <w:t>如在规定的时间内未提出书面意见表示拒绝，将视为同意延长谈判有效期</w:t>
      </w:r>
      <w:r>
        <w:rPr>
          <w:rFonts w:hint="eastAsia" w:ascii="宋体" w:hAnsi="宋体"/>
          <w:color w:val="000000" w:themeColor="text1"/>
          <w14:textFill>
            <w14:solidFill>
              <w14:schemeClr w14:val="tx1"/>
            </w14:solidFill>
          </w14:textFill>
        </w:rPr>
        <w:t>。</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15.3在谈判有效期内，投标人撤销或修改其谈判响应文件的，应承担责任。</w:t>
      </w:r>
    </w:p>
    <w:p>
      <w:pPr>
        <w:spacing w:beforeLines="30" w:afterLines="30" w:line="54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16、</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签署</w:t>
      </w:r>
    </w:p>
    <w:p>
      <w:pPr>
        <w:tabs>
          <w:tab w:val="left" w:pos="0"/>
          <w:tab w:val="left" w:pos="540"/>
        </w:tabs>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16.1谈判响应文件应</w:t>
      </w:r>
      <w:r>
        <w:rPr>
          <w:rFonts w:ascii="宋体" w:hAnsi="宋体" w:cs="Arial"/>
          <w:color w:val="000000" w:themeColor="text1"/>
          <w:szCs w:val="21"/>
          <w14:textFill>
            <w14:solidFill>
              <w14:schemeClr w14:val="tx1"/>
            </w14:solidFill>
          </w14:textFill>
        </w:rPr>
        <w:t>由</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的法定代表人或其</w:t>
      </w:r>
      <w:r>
        <w:rPr>
          <w:rFonts w:hint="eastAsia" w:ascii="宋体" w:hAnsi="宋体" w:cs="Arial"/>
          <w:color w:val="000000" w:themeColor="text1"/>
          <w:szCs w:val="21"/>
          <w14:textFill>
            <w14:solidFill>
              <w14:schemeClr w14:val="tx1"/>
            </w14:solidFill>
          </w14:textFill>
        </w:rPr>
        <w:t>被</w:t>
      </w:r>
      <w:r>
        <w:rPr>
          <w:rFonts w:ascii="宋体" w:hAnsi="宋体" w:cs="Arial"/>
          <w:color w:val="000000" w:themeColor="text1"/>
          <w:szCs w:val="21"/>
          <w14:textFill>
            <w14:solidFill>
              <w14:schemeClr w14:val="tx1"/>
            </w14:solidFill>
          </w14:textFill>
        </w:rPr>
        <w:t>授权代表正确签署。</w:t>
      </w:r>
      <w:r>
        <w:rPr>
          <w:rFonts w:hint="eastAsia" w:ascii="宋体" w:hAnsi="宋体" w:cs="Arial"/>
          <w:color w:val="000000" w:themeColor="text1"/>
          <w:szCs w:val="21"/>
          <w14:textFill>
            <w14:solidFill>
              <w14:schemeClr w14:val="tx1"/>
            </w14:solidFill>
          </w14:textFill>
        </w:rPr>
        <w:t>被</w:t>
      </w:r>
      <w:r>
        <w:rPr>
          <w:rFonts w:ascii="宋体" w:hAnsi="宋体" w:cs="Arial"/>
          <w:color w:val="000000" w:themeColor="text1"/>
          <w:szCs w:val="21"/>
          <w14:textFill>
            <w14:solidFill>
              <w14:schemeClr w14:val="tx1"/>
            </w14:solidFill>
          </w14:textFill>
        </w:rPr>
        <w:t>授权代表须将法定代表人以书面形式出具的“法定代表人授权书”附在谈判响应</w:t>
      </w:r>
      <w:r>
        <w:rPr>
          <w:rFonts w:hint="eastAsia" w:ascii="宋体" w:hAnsi="宋体" w:cs="Arial"/>
          <w:color w:val="000000" w:themeColor="text1"/>
          <w:szCs w:val="21"/>
          <w14:textFill>
            <w14:solidFill>
              <w14:schemeClr w14:val="tx1"/>
            </w14:solidFill>
          </w14:textFill>
        </w:rPr>
        <w:t>文件中</w:t>
      </w:r>
      <w:r>
        <w:rPr>
          <w:rFonts w:ascii="宋体" w:hAnsi="宋体" w:cs="Arial"/>
          <w:color w:val="000000" w:themeColor="text1"/>
          <w:szCs w:val="21"/>
          <w14:textFill>
            <w14:solidFill>
              <w14:schemeClr w14:val="tx1"/>
            </w14:solidFill>
          </w14:textFill>
        </w:rPr>
        <w:t>。</w:t>
      </w:r>
    </w:p>
    <w:p>
      <w:pPr>
        <w:tabs>
          <w:tab w:val="left" w:pos="0"/>
          <w:tab w:val="left" w:pos="54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16.2</w:t>
      </w:r>
      <w:r>
        <w:rPr>
          <w:rFonts w:ascii="宋体" w:hAnsi="宋体" w:cs="Arial"/>
          <w:color w:val="000000" w:themeColor="text1"/>
          <w:szCs w:val="21"/>
          <w14:textFill>
            <w14:solidFill>
              <w14:schemeClr w14:val="tx1"/>
            </w14:solidFill>
          </w14:textFill>
        </w:rPr>
        <w:t>谈判响应</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不得行间插字、涂改或增删。如有修改错漏处，必须由</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的法定代表人或其授权代表签字。</w:t>
      </w:r>
    </w:p>
    <w:p>
      <w:pPr>
        <w:pStyle w:val="117"/>
        <w:rPr>
          <w:color w:val="000000" w:themeColor="text1"/>
          <w14:textFill>
            <w14:solidFill>
              <w14:schemeClr w14:val="tx1"/>
            </w14:solidFill>
          </w14:textFill>
        </w:rPr>
      </w:pPr>
      <w:bookmarkStart w:id="25" w:name="_Toc518654914"/>
      <w:r>
        <w:rPr>
          <w:rFonts w:hint="eastAsia"/>
          <w:color w:val="000000" w:themeColor="text1"/>
          <w14:textFill>
            <w14:solidFill>
              <w14:schemeClr w14:val="tx1"/>
            </w14:solidFill>
          </w14:textFill>
        </w:rPr>
        <w:t>四、谈判响应文件的提交</w:t>
      </w:r>
      <w:bookmarkEnd w:id="25"/>
    </w:p>
    <w:p>
      <w:pPr>
        <w:spacing w:beforeLines="30" w:afterLines="30" w:line="540" w:lineRule="exact"/>
        <w:ind w:left="568"/>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17、</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的密封</w:t>
      </w:r>
      <w:r>
        <w:rPr>
          <w:rFonts w:hint="eastAsia" w:ascii="宋体" w:hAnsi="宋体" w:cs="Arial"/>
          <w:b/>
          <w:color w:val="000000" w:themeColor="text1"/>
          <w:szCs w:val="21"/>
          <w14:textFill>
            <w14:solidFill>
              <w14:schemeClr w14:val="tx1"/>
            </w14:solidFill>
          </w14:textFill>
        </w:rPr>
        <w:t>、</w:t>
      </w:r>
      <w:r>
        <w:rPr>
          <w:rFonts w:ascii="宋体" w:hAnsi="宋体" w:cs="Arial"/>
          <w:b/>
          <w:color w:val="000000" w:themeColor="text1"/>
          <w:szCs w:val="21"/>
          <w14:textFill>
            <w14:solidFill>
              <w14:schemeClr w14:val="tx1"/>
            </w14:solidFill>
          </w14:textFill>
        </w:rPr>
        <w:t>标记</w:t>
      </w:r>
      <w:r>
        <w:rPr>
          <w:rFonts w:hint="eastAsia" w:ascii="宋体" w:hAnsi="宋体" w:cs="Arial"/>
          <w:b/>
          <w:color w:val="000000" w:themeColor="text1"/>
          <w:szCs w:val="21"/>
          <w14:textFill>
            <w14:solidFill>
              <w14:schemeClr w14:val="tx1"/>
            </w14:solidFill>
          </w14:textFill>
        </w:rPr>
        <w:t>和装订</w:t>
      </w:r>
    </w:p>
    <w:p>
      <w:pPr>
        <w:spacing w:beforeLines="30" w:afterLines="30" w:line="540" w:lineRule="exact"/>
        <w:ind w:firstLine="462" w:firstLineChars="22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17.1</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应按“商务技术标”、“价格标”分开胶装装订、分开密封和包装。在封套的封口处（也可加贴封条）加盖投标人公章及法定代表人签名或盖章（或代理人签名），密封袋上清楚的标明“商务技术标”、“价格标”字样。商务技术标不得体现任何与本项目报价相关的内容，否则按无效标处理。</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17.2谈判响应文件包装袋上必须清楚写明项目的名称、项目编号、包号及包名（如果项目分有多个包）、投标人全称。</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17.3如果项目分有多个包，投标人可以参与其中的一个或几个包的采购活动，但必须以包为单位分别编写谈判响应文件，必须以包为单位进行封装。</w:t>
      </w:r>
    </w:p>
    <w:p>
      <w:pPr>
        <w:spacing w:beforeLines="30" w:afterLines="30" w:line="540" w:lineRule="exact"/>
        <w:ind w:left="359" w:leftChars="171" w:firstLine="211" w:firstLineChars="1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18、谈判响应文件的递交</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18.1投标人应按投标人须知前附表中规定的截止时间前递交谈判响应文件。</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18.2投标人递交谈判响应文件的地点：详见投标人须知前附表。</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18.3投标人所递交的谈判响应文件在谈判开始后不予退还。</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18.4采购单位收到谈判响应文件后，应及时登记并由投标人签字确认。</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18.5有下列情形之一的，</w:t>
      </w:r>
      <w:r>
        <w:rPr>
          <w:rFonts w:hint="eastAsia" w:ascii="宋体" w:hAnsi="宋体" w:cs="Arial"/>
          <w:b/>
          <w:color w:val="000000" w:themeColor="text1"/>
          <w:szCs w:val="21"/>
          <w14:textFill>
            <w14:solidFill>
              <w14:schemeClr w14:val="tx1"/>
            </w14:solidFill>
          </w14:textFill>
        </w:rPr>
        <w:t>采购单位将不予受理</w:t>
      </w:r>
      <w:r>
        <w:rPr>
          <w:rFonts w:hint="eastAsia" w:ascii="宋体" w:hAnsi="宋体" w:cs="Arial"/>
          <w:color w:val="000000" w:themeColor="text1"/>
          <w:szCs w:val="21"/>
          <w14:textFill>
            <w14:solidFill>
              <w14:schemeClr w14:val="tx1"/>
            </w14:solidFill>
          </w14:textFill>
        </w:rPr>
        <w:t>：</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18.5.1逾期送达的或者未送达指定地点的谈判响应文件。</w:t>
      </w:r>
    </w:p>
    <w:p>
      <w:pPr>
        <w:spacing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18.5.2未按本文件17.1、17.2、17.3条的要求密封和加写标记的谈判响应文件。</w:t>
      </w:r>
    </w:p>
    <w:p>
      <w:pPr>
        <w:spacing w:line="50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19、谈判</w:t>
      </w:r>
      <w:r>
        <w:rPr>
          <w:rFonts w:ascii="宋体" w:hAnsi="宋体" w:cs="Arial"/>
          <w:b/>
          <w:color w:val="000000" w:themeColor="text1"/>
          <w:szCs w:val="21"/>
          <w14:textFill>
            <w14:solidFill>
              <w14:schemeClr w14:val="tx1"/>
            </w14:solidFill>
          </w14:textFill>
        </w:rPr>
        <w:t>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的修改和撤回</w:t>
      </w:r>
    </w:p>
    <w:p>
      <w:pPr>
        <w:pStyle w:val="108"/>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19.1在投标人须知前附表规定的谈判响应文件递交截止时间前，投标人可以修改或撤回已递交的谈判响应文件，但应以书面形式通知采购人。</w:t>
      </w:r>
    </w:p>
    <w:p>
      <w:pPr>
        <w:pStyle w:val="108"/>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19.2投标人修改或撤回已递交谈判响应文件的书面通知应按照本文件第</w:t>
      </w:r>
      <w:r>
        <w:rPr>
          <w:rFonts w:hint="eastAsia"/>
          <w:color w:val="000000" w:themeColor="text1"/>
          <w14:textFill>
            <w14:solidFill>
              <w14:schemeClr w14:val="tx1"/>
            </w14:solidFill>
          </w14:textFill>
        </w:rPr>
        <w:t>17条</w:t>
      </w:r>
      <w:r>
        <w:rPr>
          <w:rFonts w:hint="eastAsia" w:ascii="宋体" w:hAnsi="宋体"/>
          <w:color w:val="000000" w:themeColor="text1"/>
          <w14:textFill>
            <w14:solidFill>
              <w14:schemeClr w14:val="tx1"/>
            </w14:solidFill>
          </w14:textFill>
        </w:rPr>
        <w:t>的要求签字或盖章。</w:t>
      </w:r>
    </w:p>
    <w:p>
      <w:pPr>
        <w:pStyle w:val="108"/>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19.3投标人撤回谈判响应文件的，受托人自收到投标人书面撤回通知之日起</w:t>
      </w:r>
      <w:r>
        <w:rPr>
          <w:rFonts w:hint="eastAsia"/>
          <w:color w:val="000000" w:themeColor="text1"/>
          <w14:textFill>
            <w14:solidFill>
              <w14:schemeClr w14:val="tx1"/>
            </w14:solidFill>
          </w14:textFill>
        </w:rPr>
        <w:t>5个工作</w:t>
      </w:r>
      <w:r>
        <w:rPr>
          <w:rFonts w:hint="eastAsia" w:ascii="宋体" w:hAnsi="宋体"/>
          <w:color w:val="000000" w:themeColor="text1"/>
          <w14:textFill>
            <w14:solidFill>
              <w14:schemeClr w14:val="tx1"/>
            </w14:solidFill>
          </w14:textFill>
        </w:rPr>
        <w:t>日内退还已收取的谈判保证金。</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19.4修改的内容为谈判响应文件的组成部分。修改的谈判响应文件应按照本文件的要求进行编制、密封、标记和递交，并标明“修改”字样。</w:t>
      </w:r>
    </w:p>
    <w:p>
      <w:pPr>
        <w:spacing w:beforeLines="30" w:afterLines="30" w:line="54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20、联合体参加谈判</w:t>
      </w:r>
    </w:p>
    <w:p>
      <w:pPr>
        <w:spacing w:line="540" w:lineRule="exact"/>
        <w:ind w:firstLine="420" w:firstLineChars="200"/>
        <w:rPr>
          <w:rFonts w:ascii="宋体" w:hAnsi="宋体" w:cs="Arial"/>
          <w:color w:val="000000" w:themeColor="text1"/>
          <w:szCs w:val="21"/>
          <w14:textFill>
            <w14:solidFill>
              <w14:schemeClr w14:val="tx1"/>
            </w14:solidFill>
          </w14:textFill>
        </w:rPr>
      </w:pPr>
      <w:permStart w:id="33" w:edGrp="everyone"/>
      <w:permEnd w:id="33"/>
    </w:p>
    <w:p>
      <w:pPr>
        <w:pStyle w:val="117"/>
        <w:rPr>
          <w:color w:val="000000" w:themeColor="text1"/>
          <w14:textFill>
            <w14:solidFill>
              <w14:schemeClr w14:val="tx1"/>
            </w14:solidFill>
          </w14:textFill>
        </w:rPr>
      </w:pPr>
      <w:bookmarkStart w:id="26" w:name="_Toc518654915"/>
      <w:r>
        <w:rPr>
          <w:rFonts w:hint="eastAsia"/>
          <w:color w:val="000000" w:themeColor="text1"/>
          <w14:textFill>
            <w14:solidFill>
              <w14:schemeClr w14:val="tx1"/>
            </w14:solidFill>
          </w14:textFill>
        </w:rPr>
        <w:t>五、谈判与评审</w:t>
      </w:r>
      <w:bookmarkEnd w:id="26"/>
    </w:p>
    <w:p>
      <w:pPr>
        <w:spacing w:beforeLines="30" w:afterLines="30"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21、谈判</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21.1</w:t>
      </w:r>
      <w:r>
        <w:rPr>
          <w:rFonts w:ascii="宋体" w:hAnsi="宋体" w:cs="Arial"/>
          <w:color w:val="000000" w:themeColor="text1"/>
          <w:szCs w:val="21"/>
          <w14:textFill>
            <w14:solidFill>
              <w14:schemeClr w14:val="tx1"/>
            </w14:solidFill>
          </w14:textFill>
        </w:rPr>
        <w:t>采购单位将在“</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须知前附表”规定的时间和地点组织</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w:t>
      </w:r>
      <w:r>
        <w:rPr>
          <w:rFonts w:hint="eastAsia" w:ascii="宋体" w:hAnsi="宋体" w:cs="Arial"/>
          <w:b/>
          <w:color w:val="000000" w:themeColor="text1"/>
          <w:szCs w:val="21"/>
          <w14:textFill>
            <w14:solidFill>
              <w14:schemeClr w14:val="tx1"/>
            </w14:solidFill>
          </w14:textFill>
        </w:rPr>
        <w:t>投标人的法定代表人或其委托的代理人应携带有效证件准时</w:t>
      </w:r>
      <w:r>
        <w:rPr>
          <w:rFonts w:ascii="宋体" w:hAnsi="宋体" w:cs="Arial"/>
          <w:b/>
          <w:color w:val="000000" w:themeColor="text1"/>
          <w:szCs w:val="21"/>
          <w14:textFill>
            <w14:solidFill>
              <w14:schemeClr w14:val="tx1"/>
            </w14:solidFill>
          </w14:textFill>
        </w:rPr>
        <w:t>参加</w:t>
      </w:r>
      <w:r>
        <w:rPr>
          <w:rFonts w:hint="eastAsia" w:ascii="宋体" w:hAnsi="宋体" w:cs="Arial"/>
          <w:b/>
          <w:color w:val="000000" w:themeColor="text1"/>
          <w:szCs w:val="21"/>
          <w14:textFill>
            <w14:solidFill>
              <w14:schemeClr w14:val="tx1"/>
            </w14:solidFill>
          </w14:textFill>
        </w:rPr>
        <w:t>谈判；如为代理人参加的，还需提供有效的法定代表人的授权委托书（制作在标书内的，待打开标书后查验）。否则将否决其投标。</w:t>
      </w:r>
    </w:p>
    <w:p>
      <w:pPr>
        <w:tabs>
          <w:tab w:val="left" w:pos="900"/>
        </w:tabs>
        <w:spacing w:beforeLines="30" w:afterLines="30" w:line="540" w:lineRule="exact"/>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21.2采购单位按规定组成三人以上的谈判小组。</w:t>
      </w:r>
    </w:p>
    <w:p>
      <w:pPr>
        <w:pStyle w:val="108"/>
        <w:spacing w:line="500" w:lineRule="exact"/>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谈判小组成员有下列情形之一的，应当回避：</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）投标人或投标人主要负责人的近亲属；</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）项目主管部门或者行政监督部门的人员；</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）与投标人有经济利益关系，可能影响公正评审的；</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）曾因在招标、评标以及其他与招标投标有关活动中从事违法行为而受过行政处罚或刑事处罚的；</w:t>
      </w:r>
    </w:p>
    <w:p>
      <w:pPr>
        <w:tabs>
          <w:tab w:val="left" w:pos="900"/>
        </w:tabs>
        <w:spacing w:beforeLines="30" w:afterLines="30" w:line="5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）与投标人有其他利害关系。</w:t>
      </w:r>
    </w:p>
    <w:p>
      <w:pPr>
        <w:tabs>
          <w:tab w:val="left" w:pos="90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小组成员应当按照客观、公正、审慎的原则，根据谈判文件规定的评审程序、评审方法和评审标准进行独立评审。未实质性响应谈判文件的响应文件按无效响应处理，谈判小组应当告知提交响应文件的投标人。</w:t>
      </w:r>
    </w:p>
    <w:p>
      <w:pPr>
        <w:tabs>
          <w:tab w:val="left" w:pos="360"/>
        </w:tabs>
        <w:spacing w:beforeLines="30" w:afterLines="30" w:line="540" w:lineRule="exact"/>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21.3谈判小组将首先对</w:t>
      </w:r>
      <w:r>
        <w:rPr>
          <w:rFonts w:ascii="宋体" w:hAnsi="宋体" w:cs="Arial"/>
          <w:color w:val="000000" w:themeColor="text1"/>
          <w:szCs w:val="21"/>
          <w14:textFill>
            <w14:solidFill>
              <w14:schemeClr w14:val="tx1"/>
            </w14:solidFill>
          </w14:textFill>
        </w:rPr>
        <w:t>谈判响应</w:t>
      </w:r>
      <w:r>
        <w:rPr>
          <w:rFonts w:hint="eastAsia" w:ascii="宋体" w:hAnsi="宋体" w:cs="Arial"/>
          <w:color w:val="000000" w:themeColor="text1"/>
          <w:szCs w:val="21"/>
          <w14:textFill>
            <w14:solidFill>
              <w14:schemeClr w14:val="tx1"/>
            </w14:solidFill>
          </w14:textFill>
        </w:rPr>
        <w:t>文件商务技术标部分进行评审</w:t>
      </w:r>
      <w:r>
        <w:rPr>
          <w:rFonts w:hint="eastAsia" w:ascii="宋体" w:hAnsi="宋体" w:cs="Arial"/>
          <w:b/>
          <w:color w:val="000000" w:themeColor="text1"/>
          <w:szCs w:val="21"/>
          <w14:textFill>
            <w14:solidFill>
              <w14:schemeClr w14:val="tx1"/>
            </w14:solidFill>
          </w14:textFill>
        </w:rPr>
        <w:t>（详见本文件第四章）</w:t>
      </w:r>
      <w:r>
        <w:rPr>
          <w:rFonts w:hint="eastAsia" w:ascii="宋体" w:hAnsi="宋体" w:cs="Arial"/>
          <w:color w:val="000000" w:themeColor="text1"/>
          <w:szCs w:val="21"/>
          <w14:textFill>
            <w14:solidFill>
              <w14:schemeClr w14:val="tx1"/>
            </w14:solidFill>
          </w14:textFill>
        </w:rPr>
        <w:t xml:space="preserve">，了解其与谈判文件要求是否有偏离。 </w:t>
      </w:r>
    </w:p>
    <w:p>
      <w:pPr>
        <w:spacing w:beforeLines="30" w:afterLines="30" w:line="540" w:lineRule="exact"/>
        <w:ind w:firstLine="730" w:firstLineChars="348"/>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21.4符合性评审结束后，谈判小组会要求投标人就</w:t>
      </w:r>
      <w:r>
        <w:rPr>
          <w:rFonts w:ascii="宋体" w:hAnsi="宋体" w:cs="Arial"/>
          <w:color w:val="000000" w:themeColor="text1"/>
          <w:szCs w:val="21"/>
          <w14:textFill>
            <w14:solidFill>
              <w14:schemeClr w14:val="tx1"/>
            </w14:solidFill>
          </w14:textFill>
        </w:rPr>
        <w:t>谈判响应</w:t>
      </w:r>
      <w:r>
        <w:rPr>
          <w:rFonts w:hint="eastAsia" w:ascii="宋体" w:hAnsi="宋体" w:cs="Arial"/>
          <w:color w:val="000000" w:themeColor="text1"/>
          <w:szCs w:val="21"/>
          <w14:textFill>
            <w14:solidFill>
              <w14:schemeClr w14:val="tx1"/>
            </w14:solidFill>
          </w14:textFill>
        </w:rPr>
        <w:t>文件商务技术标中含糊不清、错漏的地方或谈判小组提出的其他内容进行澄清，并提出问题，然后与投标人就商务技术部分进行谈判并要求投标人就之前提出的问题和技术谈判内容进行书面确认。</w:t>
      </w:r>
      <w:r>
        <w:rPr>
          <w:rFonts w:hint="eastAsia" w:ascii="宋体" w:hAnsi="宋体" w:cs="Arial"/>
          <w:b/>
          <w:color w:val="000000" w:themeColor="text1"/>
          <w:szCs w:val="21"/>
          <w14:textFill>
            <w14:solidFill>
              <w14:schemeClr w14:val="tx1"/>
            </w14:solidFill>
          </w14:textFill>
        </w:rPr>
        <w:t>未通过符合性评审的投标人，不进入后续谈判程序。</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21.5符合性评审通过后，谈判小组将按抽签顺序，与投标人分别进行价格谈判。价格谈判是分开进行的。投标人不得与其他参与谈判的投标人相互串通；谈判小组也不得将与某一投标人的谈判情况向其他投标人及其关系人透露。</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21.6谈判小组将与投标人就其价格构成与高低进行谈判并要求投标人在首次报价（投标人在谈判响应文件价格标中的报价为首次报价）的基础上进行第二次报价。</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如果谈判小组认为各投标人二次报价远远高于市场价格，可以增加一轮谈判，但每个通过审核的投标人在每轮报价中应获得相同的报价机会。</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投标人每次报价都应当在谈判组规定的时间内经法定代表人或被授权代表签字后，以书面的方式提交给谈判小组。</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谈判小组规定的报价截止时间到后，谈判小组对投标人的最终报价的有效性进行评审。</w:t>
      </w:r>
    </w:p>
    <w:p>
      <w:pPr>
        <w:spacing w:beforeLines="30" w:afterLines="30" w:line="540" w:lineRule="exact"/>
        <w:ind w:firstLine="527" w:firstLineChars="250"/>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除非谈判文件另有规定或经采购人同意支付的，投标人的最终报价不得超出预算价格，否则按无效标处理。</w:t>
      </w:r>
    </w:p>
    <w:p>
      <w:pPr>
        <w:spacing w:beforeLines="30" w:afterLines="30" w:line="540" w:lineRule="exact"/>
        <w:ind w:firstLine="527" w:firstLineChars="250"/>
        <w:rPr>
          <w:rFonts w:ascii="宋体" w:hAnsi="宋体" w:cs="Arial"/>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采购需求中的技术、服务要求以及合同草案条款未进行实质性变动的，</w:t>
      </w:r>
      <w:r>
        <w:rPr>
          <w:rFonts w:hint="eastAsia" w:ascii="宋体" w:hAnsi="宋体" w:cs="Arial"/>
          <w:b/>
          <w:color w:val="000000" w:themeColor="text1"/>
          <w:szCs w:val="21"/>
          <w14:textFill>
            <w14:solidFill>
              <w14:schemeClr w14:val="tx1"/>
            </w14:solidFill>
          </w14:textFill>
        </w:rPr>
        <w:t>投标人每次报价应不得超过前一轮报价，否则作无效标处理。</w:t>
      </w:r>
      <w:r>
        <w:rPr>
          <w:rFonts w:hint="eastAsia"/>
          <w:color w:val="000000" w:themeColor="text1"/>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Lines="30" w:afterLines="30"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22、评审</w:t>
      </w:r>
    </w:p>
    <w:p>
      <w:pPr>
        <w:spacing w:line="540" w:lineRule="exact"/>
        <w:ind w:firstLine="459" w:firstLineChars="219"/>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22.1 谈判小组将依据投标人最终提交的确认件进行评审。</w:t>
      </w:r>
    </w:p>
    <w:p>
      <w:pPr>
        <w:spacing w:line="540" w:lineRule="exact"/>
        <w:ind w:firstLine="459" w:firstLineChars="219"/>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22.2</w:t>
      </w:r>
      <w:r>
        <w:rPr>
          <w:rFonts w:hint="eastAsia"/>
          <w:color w:val="000000" w:themeColor="text1"/>
          <w14:textFill>
            <w14:solidFill>
              <w14:schemeClr w14:val="tx1"/>
            </w14:solidFill>
          </w14:textFill>
        </w:rPr>
        <w:t>谈判小组应当从质量和服务均能满足谈判文件实质性响应要求的投标人中，按照最后报价由低到高的顺序</w:t>
      </w:r>
      <w:r>
        <w:rPr>
          <w:rFonts w:hint="eastAsia" w:ascii="宋体" w:hAnsi="宋体" w:cs="Arial"/>
          <w:color w:val="000000" w:themeColor="text1"/>
          <w:szCs w:val="21"/>
          <w14:textFill>
            <w14:solidFill>
              <w14:schemeClr w14:val="tx1"/>
            </w14:solidFill>
          </w14:textFill>
        </w:rPr>
        <w:t>（</w:t>
      </w:r>
      <w:r>
        <w:rPr>
          <w:rFonts w:hint="eastAsia" w:ascii="宋体" w:hAnsi="宋体" w:cs="Arial"/>
          <w:b/>
          <w:color w:val="000000" w:themeColor="text1"/>
          <w:szCs w:val="21"/>
          <w14:textFill>
            <w14:solidFill>
              <w14:schemeClr w14:val="tx1"/>
            </w14:solidFill>
          </w14:textFill>
        </w:rPr>
        <w:t>当有两个或两个以上投标人报价相同且为最低报价时，最低报价的投标人均可再次进行报价</w:t>
      </w:r>
      <w:r>
        <w:rPr>
          <w:rFonts w:hint="eastAsia" w:ascii="宋体" w:hAnsi="宋体" w:cs="Aria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提出成交候选人，并编写评审报告。</w:t>
      </w:r>
      <w:r>
        <w:rPr>
          <w:rFonts w:hint="eastAsia" w:ascii="宋体" w:hAnsi="宋体" w:cs="Arial"/>
          <w:color w:val="000000" w:themeColor="text1"/>
          <w:szCs w:val="21"/>
          <w14:textFill>
            <w14:solidFill>
              <w14:schemeClr w14:val="tx1"/>
            </w14:solidFill>
          </w14:textFill>
        </w:rPr>
        <w:t xml:space="preserve"> </w:t>
      </w:r>
    </w:p>
    <w:p>
      <w:pPr>
        <w:spacing w:line="540" w:lineRule="exact"/>
        <w:ind w:firstLine="462" w:firstLineChars="22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22.3 采购人确认成交人后，应将结果在指定的网站公告。</w:t>
      </w:r>
    </w:p>
    <w:p>
      <w:pPr>
        <w:spacing w:line="540" w:lineRule="exact"/>
        <w:ind w:firstLine="462" w:firstLineChars="22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22.4 评审过程中，谈判小组发现投标人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投标人。</w:t>
      </w:r>
    </w:p>
    <w:p>
      <w:pPr>
        <w:spacing w:beforeLines="30" w:afterLines="30" w:line="54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23、异常情况处理</w:t>
      </w:r>
    </w:p>
    <w:p>
      <w:pPr>
        <w:spacing w:beforeLines="30" w:afterLines="30" w:line="540" w:lineRule="exact"/>
        <w:ind w:left="517"/>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23.1谈判时出现以下情况之一的，将重新组织谈判：</w:t>
      </w:r>
    </w:p>
    <w:p>
      <w:pPr>
        <w:spacing w:beforeLines="30" w:afterLines="30" w:line="540" w:lineRule="exact"/>
        <w:ind w:left="54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投标人的</w:t>
      </w:r>
      <w:r>
        <w:rPr>
          <w:rFonts w:cs="Arial"/>
          <w:b/>
          <w:color w:val="000000" w:themeColor="text1"/>
          <w:szCs w:val="21"/>
          <w14:textFill>
            <w14:solidFill>
              <w14:schemeClr w14:val="tx1"/>
            </w14:solidFill>
          </w14:textFill>
        </w:rPr>
        <w:t>最终报价</w:t>
      </w:r>
      <w:r>
        <w:rPr>
          <w:rFonts w:hint="eastAsia" w:cs="Arial"/>
          <w:b/>
          <w:color w:val="000000" w:themeColor="text1"/>
          <w:szCs w:val="21"/>
          <w14:textFill>
            <w14:solidFill>
              <w14:schemeClr w14:val="tx1"/>
            </w14:solidFill>
          </w14:textFill>
        </w:rPr>
        <w:t>均</w:t>
      </w:r>
      <w:r>
        <w:rPr>
          <w:rFonts w:cs="Arial"/>
          <w:color w:val="000000" w:themeColor="text1"/>
          <w:szCs w:val="21"/>
          <w14:textFill>
            <w14:solidFill>
              <w14:schemeClr w14:val="tx1"/>
            </w14:solidFill>
          </w14:textFill>
        </w:rPr>
        <w:t>超过采购预算，</w:t>
      </w:r>
      <w:r>
        <w:rPr>
          <w:rFonts w:hint="eastAsia" w:cs="Arial"/>
          <w:color w:val="000000" w:themeColor="text1"/>
          <w:szCs w:val="21"/>
          <w14:textFill>
            <w14:solidFill>
              <w14:schemeClr w14:val="tx1"/>
            </w14:solidFill>
          </w14:textFill>
        </w:rPr>
        <w:t>且</w:t>
      </w:r>
      <w:r>
        <w:rPr>
          <w:rFonts w:cs="Arial"/>
          <w:color w:val="000000" w:themeColor="text1"/>
          <w:szCs w:val="21"/>
          <w14:textFill>
            <w14:solidFill>
              <w14:schemeClr w14:val="tx1"/>
            </w14:solidFill>
          </w14:textFill>
        </w:rPr>
        <w:t>采购人不能支付的</w:t>
      </w:r>
      <w:r>
        <w:rPr>
          <w:rFonts w:hint="eastAsia"/>
          <w:color w:val="000000" w:themeColor="text1"/>
          <w14:textFill>
            <w14:solidFill>
              <w14:schemeClr w14:val="tx1"/>
            </w14:solidFill>
          </w14:textFill>
        </w:rPr>
        <w:t>；</w:t>
      </w:r>
    </w:p>
    <w:p>
      <w:pPr>
        <w:spacing w:beforeLines="30" w:afterLines="30" w:line="540" w:lineRule="exact"/>
        <w:ind w:left="54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w:t>
      </w:r>
      <w:r>
        <w:rPr>
          <w:rFonts w:cs="Arial"/>
          <w:color w:val="000000" w:themeColor="text1"/>
          <w:szCs w:val="21"/>
          <w14:textFill>
            <w14:solidFill>
              <w14:schemeClr w14:val="tx1"/>
            </w14:solidFill>
          </w14:textFill>
        </w:rPr>
        <w:t>符合专业条件的投标人或对谈判文件作实质响应的投标人不足规定家数的</w:t>
      </w:r>
      <w:r>
        <w:rPr>
          <w:rFonts w:hint="eastAsia" w:ascii="宋体" w:hAnsi="宋体" w:cs="Arial"/>
          <w:color w:val="000000" w:themeColor="text1"/>
          <w:szCs w:val="21"/>
          <w14:textFill>
            <w14:solidFill>
              <w14:schemeClr w14:val="tx1"/>
            </w14:solidFill>
          </w14:textFill>
        </w:rPr>
        <w:t>；</w:t>
      </w:r>
    </w:p>
    <w:p>
      <w:pPr>
        <w:numPr>
          <w:ilvl w:val="0"/>
          <w:numId w:val="7"/>
        </w:numPr>
        <w:spacing w:beforeLines="30" w:afterLines="30"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出现影响采购公正的违法、违规行为的。</w:t>
      </w:r>
    </w:p>
    <w:p>
      <w:pPr>
        <w:pStyle w:val="117"/>
        <w:rPr>
          <w:color w:val="000000" w:themeColor="text1"/>
          <w14:textFill>
            <w14:solidFill>
              <w14:schemeClr w14:val="tx1"/>
            </w14:solidFill>
          </w14:textFill>
        </w:rPr>
      </w:pPr>
      <w:bookmarkStart w:id="27" w:name="_Toc518654916"/>
      <w:r>
        <w:rPr>
          <w:rFonts w:hint="eastAsia"/>
          <w:color w:val="000000" w:themeColor="text1"/>
          <w14:textFill>
            <w14:solidFill>
              <w14:schemeClr w14:val="tx1"/>
            </w14:solidFill>
          </w14:textFill>
        </w:rPr>
        <w:t>六、定标和授予合同</w:t>
      </w:r>
      <w:bookmarkEnd w:id="27"/>
    </w:p>
    <w:p>
      <w:pPr>
        <w:spacing w:beforeLines="30" w:afterLines="30" w:line="54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24、定标</w:t>
      </w:r>
      <w:r>
        <w:rPr>
          <w:rFonts w:ascii="宋体" w:hAnsi="宋体" w:cs="Arial"/>
          <w:b/>
          <w:color w:val="000000" w:themeColor="text1"/>
          <w:szCs w:val="21"/>
          <w14:textFill>
            <w14:solidFill>
              <w14:schemeClr w14:val="tx1"/>
            </w14:solidFill>
          </w14:textFill>
        </w:rPr>
        <w:t>方式</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24.1</w:t>
      </w:r>
      <w:r>
        <w:rPr>
          <w:rFonts w:hint="eastAsia" w:ascii="宋体" w:hAnsi="宋体" w:cs="Arial"/>
          <w:color w:val="000000" w:themeColor="text1"/>
          <w:szCs w:val="21"/>
          <w14:textFill>
            <w14:solidFill>
              <w14:schemeClr w14:val="tx1"/>
            </w14:solidFill>
          </w14:textFill>
        </w:rPr>
        <w:t>项目单位</w:t>
      </w:r>
      <w:r>
        <w:rPr>
          <w:rFonts w:hint="eastAsia"/>
          <w:color w:val="000000" w:themeColor="text1"/>
          <w:shd w:val="clear" w:color="auto" w:fill="FFFFFF"/>
          <w14:textFill>
            <w14:solidFill>
              <w14:schemeClr w14:val="tx1"/>
            </w14:solidFill>
          </w14:textFill>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themeColor="text1"/>
          <w:szCs w:val="21"/>
          <w14:textFill>
            <w14:solidFill>
              <w14:schemeClr w14:val="tx1"/>
            </w14:solidFill>
          </w14:textFill>
        </w:rPr>
        <w:t>。</w:t>
      </w:r>
    </w:p>
    <w:p>
      <w:pPr>
        <w:tabs>
          <w:tab w:val="left" w:pos="0"/>
        </w:tabs>
        <w:spacing w:beforeLines="30" w:afterLines="30" w:line="540" w:lineRule="exact"/>
        <w:ind w:firstLine="525" w:firstLineChars="250"/>
        <w:rPr>
          <w:color w:val="000000" w:themeColor="text1"/>
          <w:shd w:val="clear" w:color="auto" w:fill="FFFFFF"/>
          <w14:textFill>
            <w14:solidFill>
              <w14:schemeClr w14:val="tx1"/>
            </w14:solidFill>
          </w14:textFill>
        </w:rPr>
      </w:pPr>
      <w:r>
        <w:rPr>
          <w:rFonts w:hint="eastAsia" w:ascii="宋体" w:hAnsi="宋体"/>
          <w:color w:val="000000" w:themeColor="text1"/>
          <w14:textFill>
            <w14:solidFill>
              <w14:schemeClr w14:val="tx1"/>
            </w14:solidFill>
          </w14:textFill>
        </w:rPr>
        <w:t>24.2成交投标人拒绝与</w:t>
      </w:r>
      <w:r>
        <w:rPr>
          <w:rFonts w:hint="eastAsia" w:ascii="宋体" w:hAnsi="宋体" w:cs="Arial"/>
          <w:color w:val="000000" w:themeColor="text1"/>
          <w:szCs w:val="21"/>
          <w14:textFill>
            <w14:solidFill>
              <w14:schemeClr w14:val="tx1"/>
            </w14:solidFill>
          </w14:textFill>
        </w:rPr>
        <w:t>项目单位</w:t>
      </w:r>
      <w:r>
        <w:rPr>
          <w:rFonts w:hint="eastAsia" w:ascii="宋体" w:hAnsi="宋体"/>
          <w:color w:val="000000" w:themeColor="text1"/>
          <w14:textFill>
            <w14:solidFill>
              <w14:schemeClr w14:val="tx1"/>
            </w14:solidFill>
          </w14:textFill>
        </w:rPr>
        <w:t>签订合同的，</w:t>
      </w:r>
      <w:r>
        <w:rPr>
          <w:rFonts w:hint="eastAsia" w:ascii="宋体" w:hAnsi="宋体" w:cs="Arial"/>
          <w:color w:val="000000" w:themeColor="text1"/>
          <w:szCs w:val="21"/>
          <w14:textFill>
            <w14:solidFill>
              <w14:schemeClr w14:val="tx1"/>
            </w14:solidFill>
          </w14:textFill>
        </w:rPr>
        <w:t>项目单位</w:t>
      </w:r>
      <w:r>
        <w:rPr>
          <w:rFonts w:hint="eastAsia" w:ascii="宋体" w:hAnsi="宋体"/>
          <w:color w:val="000000" w:themeColor="text1"/>
          <w14:textFill>
            <w14:solidFill>
              <w14:schemeClr w14:val="tx1"/>
            </w14:solidFill>
          </w14:textFill>
        </w:rPr>
        <w:t>可以按照评审报告推荐的成交候选人名单排序，确定下一候选人为成交投标人，也可以重新开展政府采购活动。</w:t>
      </w:r>
      <w:r>
        <w:rPr>
          <w:rFonts w:hint="eastAsia"/>
          <w:color w:val="000000" w:themeColor="text1"/>
          <w14:textFill>
            <w14:solidFill>
              <w14:schemeClr w14:val="tx1"/>
            </w14:solidFill>
          </w14:textFill>
        </w:rPr>
        <w:t>拒绝签订政府采购合同的成交投标人不得参加对该项目重新开展的采购活动。</w:t>
      </w:r>
    </w:p>
    <w:p>
      <w:pPr>
        <w:tabs>
          <w:tab w:val="left" w:pos="0"/>
        </w:tabs>
        <w:spacing w:beforeLines="30" w:afterLines="30" w:line="540" w:lineRule="exact"/>
        <w:ind w:firstLine="527" w:firstLineChars="25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25、签订合同</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25.1项目单位与成交人应当在成交通知书发出之日起十日内</w:t>
      </w:r>
      <w:r>
        <w:rPr>
          <w:rFonts w:hint="eastAsia" w:ascii="宋体" w:hAnsi="宋体" w:cs="Arial"/>
          <w:color w:val="000000" w:themeColor="text1"/>
          <w:szCs w:val="21"/>
          <w14:textFill>
            <w14:solidFill>
              <w14:schemeClr w14:val="tx1"/>
            </w14:solidFill>
          </w14:textFill>
        </w:rPr>
        <w:t>（具体时限本文件有约定的，按约定执行）</w:t>
      </w:r>
      <w:r>
        <w:rPr>
          <w:rFonts w:hint="eastAsia"/>
          <w:color w:val="000000" w:themeColor="text1"/>
          <w:shd w:val="clear" w:color="auto" w:fill="FFFFFF"/>
          <w14:textFill>
            <w14:solidFill>
              <w14:schemeClr w14:val="tx1"/>
            </w14:solidFill>
          </w14:textFill>
        </w:rPr>
        <w:t>，按照谈判文件确定的合同文本以及采购标的、规格型号、采购金额、采购数量、技术和服务要求等事项签订政府采购合同。</w:t>
      </w:r>
      <w:r>
        <w:rPr>
          <w:rFonts w:ascii="宋体" w:hAnsi="宋体" w:cs="Arial"/>
          <w:color w:val="000000" w:themeColor="text1"/>
          <w:szCs w:val="21"/>
          <w14:textFill>
            <w14:solidFill>
              <w14:schemeClr w14:val="tx1"/>
            </w14:solidFill>
          </w14:textFill>
        </w:rPr>
        <w:t xml:space="preserve"> </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25.2项目</w:t>
      </w:r>
      <w:r>
        <w:rPr>
          <w:rFonts w:ascii="宋体" w:hAnsi="宋体" w:cs="Arial"/>
          <w:color w:val="000000" w:themeColor="text1"/>
          <w:szCs w:val="21"/>
          <w14:textFill>
            <w14:solidFill>
              <w14:schemeClr w14:val="tx1"/>
            </w14:solidFill>
          </w14:textFill>
        </w:rPr>
        <w:t>单位在签订合同时，可以在不改变合同其他条款的前提下变更采购数量，但变更的金额不得超过成交</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原来总价的10%。</w:t>
      </w:r>
    </w:p>
    <w:p>
      <w:pPr>
        <w:spacing w:beforeLines="30" w:afterLines="30"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25.3中标通知书发出</w:t>
      </w:r>
      <w:r>
        <w:rPr>
          <w:rFonts w:hint="eastAsia" w:ascii="宋体" w:hAnsi="宋体" w:cs="Arial"/>
          <w:color w:val="000000" w:themeColor="text1"/>
          <w:szCs w:val="21"/>
          <w:lang w:eastAsia="zh-CN"/>
          <w14:textFill>
            <w14:solidFill>
              <w14:schemeClr w14:val="tx1"/>
            </w14:solidFill>
          </w14:textFill>
        </w:rPr>
        <w:t>十日内</w:t>
      </w:r>
      <w:r>
        <w:rPr>
          <w:rFonts w:hint="eastAsia" w:ascii="宋体" w:hAnsi="宋体" w:cs="Arial"/>
          <w:color w:val="000000" w:themeColor="text1"/>
          <w:szCs w:val="21"/>
          <w14:textFill>
            <w14:solidFill>
              <w14:schemeClr w14:val="tx1"/>
            </w14:solidFill>
          </w14:textFill>
        </w:rPr>
        <w:t>后，项目单位无正当理由不与中标投标人签订采购合同的，将依据相关规定给予处理。</w:t>
      </w:r>
    </w:p>
    <w:p>
      <w:pPr>
        <w:spacing w:beforeLines="30" w:afterLines="30" w:line="540" w:lineRule="exact"/>
        <w:ind w:firstLine="525" w:firstLineChars="250"/>
        <w:rPr>
          <w:rFonts w:ascii="方正书宋简体" w:eastAsia="方正书宋简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25.4</w:t>
      </w:r>
      <w:r>
        <w:rPr>
          <w:rFonts w:hint="eastAsia" w:ascii="宋体" w:hAnsi="宋体" w:cs="Arial"/>
          <w:color w:val="000000" w:themeColor="text1"/>
          <w:szCs w:val="21"/>
          <w14:textFill>
            <w14:solidFill>
              <w14:schemeClr w14:val="tx1"/>
            </w14:solidFill>
          </w14:textFill>
        </w:rPr>
        <w:t>项目单位与成交人签订合同后</w:t>
      </w:r>
      <w:r>
        <w:rPr>
          <w:rFonts w:hint="eastAsia" w:ascii="宋体" w:hAnsi="宋体"/>
          <w:color w:val="000000" w:themeColor="text1"/>
          <w14:textFill>
            <w14:solidFill>
              <w14:schemeClr w14:val="tx1"/>
            </w14:solidFill>
          </w14:textFill>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000000" w:themeColor="text1"/>
          <w:szCs w:val="21"/>
          <w14:textFill>
            <w14:solidFill>
              <w14:schemeClr w14:val="tx1"/>
            </w14:solidFill>
          </w14:textFill>
        </w:rPr>
        <w:t>并自合同签订之日起七个工作日内，将合同副本报同级政府采购监督管理部门和有关部门备案。</w:t>
      </w:r>
    </w:p>
    <w:p>
      <w:pPr>
        <w:spacing w:beforeLines="30" w:afterLines="30" w:line="540" w:lineRule="exact"/>
        <w:ind w:firstLine="527" w:firstLineChars="250"/>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26、</w:t>
      </w:r>
      <w:r>
        <w:rPr>
          <w:rFonts w:ascii="宋体" w:hAnsi="宋体" w:cs="Arial"/>
          <w:b/>
          <w:color w:val="000000" w:themeColor="text1"/>
          <w:szCs w:val="21"/>
          <w14:textFill>
            <w14:solidFill>
              <w14:schemeClr w14:val="tx1"/>
            </w14:solidFill>
          </w14:textFill>
        </w:rPr>
        <w:t>履约保证金</w:t>
      </w:r>
    </w:p>
    <w:p>
      <w:pPr>
        <w:spacing w:beforeLines="30" w:afterLines="30" w:line="540" w:lineRule="exact"/>
        <w:ind w:firstLine="525" w:firstLineChars="250"/>
        <w:rPr>
          <w:rFonts w:hint="eastAsia" w:ascii="方正书宋简体" w:eastAsia="方正书宋简体"/>
          <w:color w:val="000000" w:themeColor="text1"/>
          <w:szCs w:val="21"/>
          <w14:textFill>
            <w14:solidFill>
              <w14:schemeClr w14:val="tx1"/>
            </w14:solidFill>
          </w14:textFill>
        </w:rPr>
      </w:pPr>
      <w:r>
        <w:rPr>
          <w:rFonts w:hint="eastAsia" w:ascii="方正书宋简体" w:eastAsia="方正书宋简体"/>
          <w:color w:val="000000" w:themeColor="text1"/>
          <w:szCs w:val="21"/>
          <w14:textFill>
            <w14:solidFill>
              <w14:schemeClr w14:val="tx1"/>
            </w14:solidFill>
          </w14:textFill>
        </w:rPr>
        <w:t>26.1 成交投标人在签订合同前必须按竞争性谈判文件的规定，及时、足额向项目单位交纳履约保证金。</w:t>
      </w:r>
    </w:p>
    <w:p>
      <w:pPr>
        <w:spacing w:beforeLines="30" w:afterLines="30" w:line="540" w:lineRule="exact"/>
        <w:ind w:firstLine="525" w:firstLineChars="250"/>
        <w:rPr>
          <w:rFonts w:hint="eastAsia" w:ascii="方正书宋简体" w:eastAsia="方正书宋简体"/>
          <w:color w:val="000000" w:themeColor="text1"/>
          <w:szCs w:val="21"/>
          <w14:textFill>
            <w14:solidFill>
              <w14:schemeClr w14:val="tx1"/>
            </w14:solidFill>
          </w14:textFill>
        </w:rPr>
      </w:pPr>
      <w:r>
        <w:rPr>
          <w:rFonts w:hint="eastAsia" w:ascii="方正书宋简体" w:eastAsia="方正书宋简体"/>
          <w:color w:val="000000" w:themeColor="text1"/>
          <w:szCs w:val="21"/>
          <w14:textFill>
            <w14:solidFill>
              <w14:schemeClr w14:val="tx1"/>
            </w14:solidFill>
          </w14:textFill>
        </w:rPr>
        <w:t>26.2履约保证金是督促成交投标人按时、按质、按量履行合同的一个经济制约手段。当项目单位因成交投标人违约而造成损失时，可在无须征得成交投标人同意的情况下首先从其所交纳的履约保证金中获取相应的补偿。</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26.3成交投标人的谈判保证金转为履约保证金。</w:t>
      </w:r>
    </w:p>
    <w:p>
      <w:pPr>
        <w:pStyle w:val="117"/>
        <w:rPr>
          <w:color w:val="000000" w:themeColor="text1"/>
          <w14:textFill>
            <w14:solidFill>
              <w14:schemeClr w14:val="tx1"/>
            </w14:solidFill>
          </w14:textFill>
        </w:rPr>
      </w:pPr>
      <w:bookmarkStart w:id="28" w:name="_Toc518654917"/>
      <w:r>
        <w:rPr>
          <w:rFonts w:hint="eastAsia"/>
          <w:color w:val="000000" w:themeColor="text1"/>
          <w14:textFill>
            <w14:solidFill>
              <w14:schemeClr w14:val="tx1"/>
            </w14:solidFill>
          </w14:textFill>
        </w:rPr>
        <w:t>七、 质疑与投诉</w:t>
      </w:r>
      <w:bookmarkEnd w:id="28"/>
    </w:p>
    <w:p>
      <w:pPr>
        <w:spacing w:beforeLines="30" w:afterLines="30" w:line="540" w:lineRule="exact"/>
        <w:ind w:left="71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27、</w:t>
      </w:r>
      <w:r>
        <w:rPr>
          <w:rFonts w:ascii="宋体" w:hAnsi="宋体" w:cs="Arial"/>
          <w:b/>
          <w:color w:val="000000" w:themeColor="text1"/>
          <w:szCs w:val="21"/>
          <w14:textFill>
            <w14:solidFill>
              <w14:schemeClr w14:val="tx1"/>
            </w14:solidFill>
          </w14:textFill>
        </w:rPr>
        <w:t>质疑</w:t>
      </w:r>
    </w:p>
    <w:p>
      <w:pPr>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27.1</w:t>
      </w:r>
      <w:r>
        <w:rPr>
          <w:rFonts w:ascii="Arial" w:hAnsi="Arial" w:cs="Arial"/>
          <w:color w:val="000000" w:themeColor="text1"/>
          <w14:textFill>
            <w14:solidFill>
              <w14:schemeClr w14:val="tx1"/>
            </w14:solidFill>
          </w14:textFill>
        </w:rPr>
        <w:t>参与</w:t>
      </w:r>
      <w:r>
        <w:rPr>
          <w:rFonts w:hint="eastAsia" w:ascii="Arial" w:hAnsi="Arial" w:cs="Arial"/>
          <w:color w:val="000000" w:themeColor="text1"/>
          <w14:textFill>
            <w14:solidFill>
              <w14:schemeClr w14:val="tx1"/>
            </w14:solidFill>
          </w14:textFill>
        </w:rPr>
        <w:t>本</w:t>
      </w:r>
      <w:r>
        <w:rPr>
          <w:rFonts w:ascii="Arial" w:hAnsi="Arial" w:cs="Arial"/>
          <w:color w:val="000000" w:themeColor="text1"/>
          <w14:textFill>
            <w14:solidFill>
              <w14:schemeClr w14:val="tx1"/>
            </w14:solidFill>
          </w14:textFill>
        </w:rPr>
        <w:t>项目采购活动的</w:t>
      </w:r>
      <w:r>
        <w:rPr>
          <w:rFonts w:ascii="宋体" w:hAnsi="宋体" w:cs="Arial"/>
          <w:color w:val="000000" w:themeColor="text1"/>
          <w:szCs w:val="21"/>
          <w14:textFill>
            <w14:solidFill>
              <w14:schemeClr w14:val="tx1"/>
            </w14:solidFill>
          </w14:textFill>
        </w:rPr>
        <w:t>投标人</w:t>
      </w:r>
      <w:r>
        <w:rPr>
          <w:rFonts w:hint="eastAsia" w:ascii="宋体" w:hAnsi="宋体" w:cs="Arial"/>
          <w:color w:val="000000" w:themeColor="text1"/>
          <w:szCs w:val="21"/>
          <w14:textFill>
            <w14:solidFill>
              <w14:schemeClr w14:val="tx1"/>
            </w14:solidFill>
          </w14:textFill>
        </w:rPr>
        <w:t>（即递交了谈判响应文件的投标人）</w:t>
      </w:r>
      <w:r>
        <w:rPr>
          <w:rFonts w:ascii="宋体" w:hAnsi="宋体" w:cs="Arial"/>
          <w:color w:val="000000" w:themeColor="text1"/>
          <w:szCs w:val="21"/>
          <w14:textFill>
            <w14:solidFill>
              <w14:schemeClr w14:val="tx1"/>
            </w14:solidFill>
          </w14:textFill>
        </w:rPr>
        <w:t>对</w:t>
      </w:r>
      <w:r>
        <w:rPr>
          <w:rFonts w:hint="eastAsia" w:ascii="宋体" w:hAnsi="宋体" w:cs="Arial"/>
          <w:color w:val="000000" w:themeColor="text1"/>
          <w:szCs w:val="21"/>
          <w14:textFill>
            <w14:solidFill>
              <w14:schemeClr w14:val="tx1"/>
            </w14:solidFill>
          </w14:textFill>
        </w:rPr>
        <w:t>成交结果提出质疑的</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最迟可以</w:t>
      </w:r>
      <w:r>
        <w:rPr>
          <w:rFonts w:ascii="宋体" w:hAnsi="宋体" w:cs="Arial"/>
          <w:color w:val="000000" w:themeColor="text1"/>
          <w:szCs w:val="21"/>
          <w14:textFill>
            <w14:solidFill>
              <w14:schemeClr w14:val="tx1"/>
            </w14:solidFill>
          </w14:textFill>
        </w:rPr>
        <w:t>在</w:t>
      </w:r>
      <w:r>
        <w:rPr>
          <w:rFonts w:hint="eastAsia" w:ascii="宋体" w:hAnsi="宋体" w:cs="Arial"/>
          <w:color w:val="000000" w:themeColor="text1"/>
          <w:szCs w:val="21"/>
          <w14:textFill>
            <w14:solidFill>
              <w14:schemeClr w14:val="tx1"/>
            </w14:solidFill>
          </w14:textFill>
        </w:rPr>
        <w:t>成交结果</w:t>
      </w:r>
      <w:r>
        <w:rPr>
          <w:rFonts w:ascii="宋体" w:hAnsi="宋体" w:cs="Arial"/>
          <w:color w:val="000000" w:themeColor="text1"/>
          <w:szCs w:val="21"/>
          <w14:textFill>
            <w14:solidFill>
              <w14:schemeClr w14:val="tx1"/>
            </w14:solidFill>
          </w14:textFill>
        </w:rPr>
        <w:t>公告</w:t>
      </w:r>
      <w:r>
        <w:rPr>
          <w:rFonts w:hint="eastAsia" w:ascii="宋体" w:hAnsi="宋体" w:cs="Arial"/>
          <w:color w:val="000000" w:themeColor="text1"/>
          <w:szCs w:val="21"/>
          <w14:textFill>
            <w14:solidFill>
              <w14:schemeClr w14:val="tx1"/>
            </w14:solidFill>
          </w14:textFill>
        </w:rPr>
        <w:t>期限届满之日</w:t>
      </w:r>
      <w:r>
        <w:rPr>
          <w:rFonts w:ascii="宋体" w:hAnsi="宋体" w:cs="Arial"/>
          <w:color w:val="000000" w:themeColor="text1"/>
          <w:szCs w:val="21"/>
          <w14:textFill>
            <w14:solidFill>
              <w14:schemeClr w14:val="tx1"/>
            </w14:solidFill>
          </w14:textFill>
        </w:rPr>
        <w:t>起</w:t>
      </w:r>
      <w:r>
        <w:rPr>
          <w:rFonts w:hint="eastAsia" w:ascii="宋体" w:hAnsi="宋体" w:cs="Arial"/>
          <w:color w:val="000000" w:themeColor="text1"/>
          <w:szCs w:val="21"/>
          <w14:textFill>
            <w14:solidFill>
              <w14:schemeClr w14:val="tx1"/>
            </w14:solidFill>
          </w14:textFill>
        </w:rPr>
        <w:t>七</w:t>
      </w:r>
      <w:r>
        <w:rPr>
          <w:rFonts w:ascii="宋体" w:hAnsi="宋体" w:cs="Arial"/>
          <w:color w:val="000000" w:themeColor="text1"/>
          <w:szCs w:val="21"/>
          <w14:textFill>
            <w14:solidFill>
              <w14:schemeClr w14:val="tx1"/>
            </w14:solidFill>
          </w14:textFill>
        </w:rPr>
        <w:t>个工作日内</w:t>
      </w:r>
      <w:r>
        <w:rPr>
          <w:rFonts w:hint="eastAsia" w:ascii="宋体" w:hAnsi="宋体" w:cs="Arial"/>
          <w:color w:val="000000" w:themeColor="text1"/>
          <w:szCs w:val="21"/>
          <w14:textFill>
            <w14:solidFill>
              <w14:schemeClr w14:val="tx1"/>
            </w14:solidFill>
          </w14:textFill>
        </w:rPr>
        <w:t>，以书面形式</w:t>
      </w:r>
      <w:r>
        <w:rPr>
          <w:rFonts w:ascii="宋体" w:hAnsi="宋体" w:cs="Arial"/>
          <w:color w:val="000000" w:themeColor="text1"/>
          <w:szCs w:val="21"/>
          <w14:textFill>
            <w14:solidFill>
              <w14:schemeClr w14:val="tx1"/>
            </w14:solidFill>
          </w14:textFill>
        </w:rPr>
        <w:t>向采购</w:t>
      </w:r>
      <w:r>
        <w:rPr>
          <w:rFonts w:hint="eastAsia" w:ascii="宋体" w:hAnsi="宋体" w:cs="Arial"/>
          <w:color w:val="000000" w:themeColor="text1"/>
          <w:szCs w:val="21"/>
          <w14:textFill>
            <w14:solidFill>
              <w14:schemeClr w14:val="tx1"/>
            </w14:solidFill>
          </w14:textFill>
        </w:rPr>
        <w:t>人或代理机构</w:t>
      </w:r>
      <w:r>
        <w:rPr>
          <w:rFonts w:ascii="宋体" w:hAnsi="宋体" w:cs="Arial"/>
          <w:color w:val="000000" w:themeColor="text1"/>
          <w:szCs w:val="21"/>
          <w14:textFill>
            <w14:solidFill>
              <w14:schemeClr w14:val="tx1"/>
            </w14:solidFill>
          </w14:textFill>
        </w:rPr>
        <w:t>提出质疑。</w:t>
      </w:r>
    </w:p>
    <w:p>
      <w:pPr>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27.2</w:t>
      </w:r>
      <w:r>
        <w:rPr>
          <w:rFonts w:ascii="Arial" w:hAnsi="Arial" w:cs="Arial"/>
          <w:color w:val="000000" w:themeColor="text1"/>
          <w14:textFill>
            <w14:solidFill>
              <w14:schemeClr w14:val="tx1"/>
            </w14:solidFill>
          </w14:textFill>
        </w:rPr>
        <w:t>参与</w:t>
      </w:r>
      <w:r>
        <w:rPr>
          <w:rFonts w:hint="eastAsia" w:ascii="Arial" w:hAnsi="Arial" w:cs="Arial"/>
          <w:color w:val="000000" w:themeColor="text1"/>
          <w14:textFill>
            <w14:solidFill>
              <w14:schemeClr w14:val="tx1"/>
            </w14:solidFill>
          </w14:textFill>
        </w:rPr>
        <w:t>本</w:t>
      </w:r>
      <w:r>
        <w:rPr>
          <w:rFonts w:ascii="Arial" w:hAnsi="Arial" w:cs="Arial"/>
          <w:color w:val="000000" w:themeColor="text1"/>
          <w14:textFill>
            <w14:solidFill>
              <w14:schemeClr w14:val="tx1"/>
            </w14:solidFill>
          </w14:textFill>
        </w:rPr>
        <w:t>项目采购活动的</w:t>
      </w:r>
      <w:r>
        <w:rPr>
          <w:rFonts w:hint="eastAsia" w:ascii="宋体" w:hAnsi="宋体" w:cs="Arial"/>
          <w:color w:val="000000" w:themeColor="text1"/>
          <w:szCs w:val="21"/>
          <w14:textFill>
            <w14:solidFill>
              <w14:schemeClr w14:val="tx1"/>
            </w14:solidFill>
          </w14:textFill>
        </w:rPr>
        <w:t>投标人（即递交了谈判响应文件的投标人）认为采购过程使自己的权益受到损害的，可以在各采购程序环节结束之日起七</w:t>
      </w:r>
      <w:r>
        <w:rPr>
          <w:rFonts w:ascii="宋体" w:hAnsi="宋体" w:cs="Arial"/>
          <w:color w:val="000000" w:themeColor="text1"/>
          <w:szCs w:val="21"/>
          <w14:textFill>
            <w14:solidFill>
              <w14:schemeClr w14:val="tx1"/>
            </w14:solidFill>
          </w14:textFill>
        </w:rPr>
        <w:t>个工作日内</w:t>
      </w:r>
      <w:r>
        <w:rPr>
          <w:rFonts w:hint="eastAsia" w:ascii="宋体" w:hAnsi="宋体" w:cs="Arial"/>
          <w:color w:val="000000" w:themeColor="text1"/>
          <w:szCs w:val="21"/>
          <w14:textFill>
            <w14:solidFill>
              <w14:schemeClr w14:val="tx1"/>
            </w14:solidFill>
          </w14:textFill>
        </w:rPr>
        <w:t>，以书面形式向采购人或代理机构提出质疑。</w:t>
      </w:r>
    </w:p>
    <w:p>
      <w:pPr>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27.3</w:t>
      </w:r>
      <w:r>
        <w:rPr>
          <w:rFonts w:hint="eastAsia" w:ascii="Verdana" w:hAnsi="Verdana"/>
          <w:color w:val="000000" w:themeColor="text1"/>
          <w14:textFill>
            <w14:solidFill>
              <w14:schemeClr w14:val="tx1"/>
            </w14:solidFill>
          </w14:textFill>
        </w:rPr>
        <w:t>质疑函的内容应包括</w:t>
      </w:r>
      <w:r>
        <w:rPr>
          <w:rFonts w:ascii="Arial" w:hAnsi="Arial" w:cs="Arial"/>
          <w:color w:val="000000" w:themeColor="text1"/>
          <w14:textFill>
            <w14:solidFill>
              <w14:schemeClr w14:val="tx1"/>
            </w14:solidFill>
          </w14:textFill>
        </w:rPr>
        <w:t>《政府采购质疑和投诉办法》</w:t>
      </w:r>
      <w:r>
        <w:rPr>
          <w:rFonts w:hint="eastAsia" w:ascii="Arial" w:hAnsi="Arial" w:cs="Arial"/>
          <w:color w:val="000000" w:themeColor="text1"/>
          <w14:textFill>
            <w14:solidFill>
              <w14:schemeClr w14:val="tx1"/>
            </w14:solidFill>
          </w14:textFill>
        </w:rPr>
        <w:t>（财政部令第94号）第十二条规定的内容，质疑函的格式可参照</w:t>
      </w:r>
      <w:r>
        <w:rPr>
          <w:rFonts w:hint="eastAsia" w:ascii="宋体" w:hAnsi="宋体"/>
          <w:color w:val="000000" w:themeColor="text1"/>
          <w14:textFill>
            <w14:solidFill>
              <w14:schemeClr w14:val="tx1"/>
            </w14:solidFill>
          </w14:textFill>
        </w:rPr>
        <w:t>黄山市公共资源交易中心门户网站办事流程--资料下载中的质疑函范本</w:t>
      </w:r>
      <w:r>
        <w:rPr>
          <w:rFonts w:hint="eastAsia" w:ascii="Arial" w:hAnsi="Arial" w:cs="Arial"/>
          <w:color w:val="000000" w:themeColor="text1"/>
          <w14:textFill>
            <w14:solidFill>
              <w14:schemeClr w14:val="tx1"/>
            </w14:solidFill>
          </w14:textFill>
        </w:rPr>
        <w:t>。</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27.4采购人或代理机构在收到投标人的质疑函后，将审查质疑函的格式、内容以及所附的证明文件是否符合要求。如不符合，退回投标人；如符合要求，则在收到书面质疑后七个工作日内，对质疑内容作出书面答复。</w:t>
      </w:r>
    </w:p>
    <w:p>
      <w:pPr>
        <w:spacing w:beforeLines="30" w:afterLines="30" w:line="540" w:lineRule="exact"/>
        <w:ind w:firstLine="514" w:firstLineChars="245"/>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27.5</w:t>
      </w:r>
      <w:r>
        <w:rPr>
          <w:rFonts w:hint="eastAsia" w:ascii="宋体" w:hAnsi="宋体"/>
          <w:color w:val="000000" w:themeColor="text1"/>
          <w14:textFill>
            <w14:solidFill>
              <w14:schemeClr w14:val="tx1"/>
            </w14:solidFill>
          </w14:textFill>
        </w:rPr>
        <w:t>投标人对同一环节的质疑，应</w:t>
      </w:r>
      <w:r>
        <w:rPr>
          <w:rFonts w:ascii="Arial" w:hAnsi="Arial" w:cs="Arial"/>
          <w:color w:val="000000" w:themeColor="text1"/>
          <w14:textFill>
            <w14:solidFill>
              <w14:schemeClr w14:val="tx1"/>
            </w14:solidFill>
          </w14:textFill>
        </w:rPr>
        <w:t>在法定质疑期内一次性提出</w:t>
      </w:r>
      <w:r>
        <w:rPr>
          <w:rFonts w:hint="eastAsia" w:ascii="Arial" w:hAnsi="Arial" w:cs="Arial"/>
          <w:color w:val="000000" w:themeColor="text1"/>
          <w14:textFill>
            <w14:solidFill>
              <w14:schemeClr w14:val="tx1"/>
            </w14:solidFill>
          </w14:textFill>
        </w:rPr>
        <w:t>，采购人或代理机构不再接受同一投标人针对同一环节提出的再次质疑。</w:t>
      </w:r>
    </w:p>
    <w:p>
      <w:pPr>
        <w:tabs>
          <w:tab w:val="left" w:pos="0"/>
        </w:tabs>
        <w:spacing w:beforeLines="30" w:afterLines="30" w:line="540" w:lineRule="exact"/>
        <w:ind w:firstLine="527" w:firstLineChars="25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28、投诉</w:t>
      </w:r>
    </w:p>
    <w:p>
      <w:pPr>
        <w:tabs>
          <w:tab w:val="left" w:pos="0"/>
        </w:tabs>
        <w:spacing w:beforeLines="30" w:afterLines="30" w:line="540" w:lineRule="exact"/>
        <w:ind w:firstLine="525" w:firstLineChars="250"/>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28.1质疑人</w:t>
      </w:r>
      <w:r>
        <w:rPr>
          <w:rFonts w:ascii="宋体" w:hAnsi="宋体" w:cs="Arial"/>
          <w:color w:val="000000" w:themeColor="text1"/>
          <w:szCs w:val="21"/>
          <w14:textFill>
            <w14:solidFill>
              <w14:schemeClr w14:val="tx1"/>
            </w14:solidFill>
          </w14:textFill>
        </w:rPr>
        <w:t>对采购</w:t>
      </w:r>
      <w:r>
        <w:rPr>
          <w:rFonts w:hint="eastAsia" w:ascii="宋体" w:hAnsi="宋体" w:cs="Arial"/>
          <w:color w:val="000000" w:themeColor="text1"/>
          <w:szCs w:val="21"/>
          <w14:textFill>
            <w14:solidFill>
              <w14:schemeClr w14:val="tx1"/>
            </w14:solidFill>
          </w14:textFill>
        </w:rPr>
        <w:t>单位</w:t>
      </w:r>
      <w:r>
        <w:rPr>
          <w:rFonts w:ascii="宋体" w:hAnsi="宋体" w:cs="Arial"/>
          <w:color w:val="000000" w:themeColor="text1"/>
          <w:szCs w:val="21"/>
          <w14:textFill>
            <w14:solidFill>
              <w14:schemeClr w14:val="tx1"/>
            </w14:solidFill>
          </w14:textFill>
        </w:rPr>
        <w:t>的答复不满意，或者采购</w:t>
      </w:r>
      <w:r>
        <w:rPr>
          <w:rFonts w:hint="eastAsia" w:ascii="宋体" w:hAnsi="宋体" w:cs="Arial"/>
          <w:color w:val="000000" w:themeColor="text1"/>
          <w:szCs w:val="21"/>
          <w14:textFill>
            <w14:solidFill>
              <w14:schemeClr w14:val="tx1"/>
            </w14:solidFill>
          </w14:textFill>
        </w:rPr>
        <w:t>单位</w:t>
      </w:r>
      <w:r>
        <w:rPr>
          <w:rFonts w:ascii="宋体" w:hAnsi="宋体" w:cs="Arial"/>
          <w:color w:val="000000" w:themeColor="text1"/>
          <w:szCs w:val="21"/>
          <w14:textFill>
            <w14:solidFill>
              <w14:schemeClr w14:val="tx1"/>
            </w14:solidFill>
          </w14:textFill>
        </w:rPr>
        <w:t>未在规定的时间内答复的，可以在答复期满后十五个工作日内按有关规定，向同级政府</w:t>
      </w:r>
      <w:r>
        <w:rPr>
          <w:rFonts w:hint="eastAsia" w:ascii="宋体" w:hAnsi="宋体" w:cs="Arial"/>
          <w:color w:val="000000" w:themeColor="text1"/>
          <w:szCs w:val="21"/>
          <w14:textFill>
            <w14:solidFill>
              <w14:schemeClr w14:val="tx1"/>
            </w14:solidFill>
          </w14:textFill>
        </w:rPr>
        <w:t>采购监管部门</w:t>
      </w:r>
      <w:r>
        <w:rPr>
          <w:rFonts w:ascii="宋体" w:hAnsi="宋体" w:cs="Arial"/>
          <w:color w:val="000000" w:themeColor="text1"/>
          <w:szCs w:val="21"/>
          <w14:textFill>
            <w14:solidFill>
              <w14:schemeClr w14:val="tx1"/>
            </w14:solidFill>
          </w14:textFill>
        </w:rPr>
        <w:t>进行投诉。</w:t>
      </w:r>
    </w:p>
    <w:p>
      <w:pPr>
        <w:pStyle w:val="113"/>
        <w:ind w:firstLine="420"/>
        <w:rPr>
          <w:color w:val="000000" w:themeColor="text1"/>
          <w14:textFill>
            <w14:solidFill>
              <w14:schemeClr w14:val="tx1"/>
            </w14:solidFill>
          </w14:textFill>
        </w:rPr>
      </w:pPr>
      <w:bookmarkStart w:id="29" w:name="_Hlk450145796"/>
      <w:bookmarkStart w:id="30" w:name="_Toc272218549"/>
      <w:bookmarkStart w:id="31" w:name="_Toc482821793"/>
      <w:bookmarkStart w:id="32" w:name="_Toc488157400"/>
    </w:p>
    <w:p>
      <w:pPr>
        <w:pStyle w:val="116"/>
        <w:rPr>
          <w:color w:val="000000" w:themeColor="text1"/>
          <w14:textFill>
            <w14:solidFill>
              <w14:schemeClr w14:val="tx1"/>
            </w14:solidFill>
          </w14:textFill>
        </w:rPr>
      </w:pPr>
      <w:bookmarkStart w:id="33" w:name="_Toc518654918"/>
      <w:r>
        <w:rPr>
          <w:rFonts w:hint="eastAsia"/>
          <w:color w:val="000000" w:themeColor="text1"/>
          <w14:textFill>
            <w14:solidFill>
              <w14:schemeClr w14:val="tx1"/>
            </w14:solidFill>
          </w14:textFill>
        </w:rPr>
        <w:t>第六章 合同格式</w:t>
      </w:r>
      <w:bookmarkEnd w:id="29"/>
      <w:bookmarkEnd w:id="30"/>
      <w:r>
        <w:rPr>
          <w:rFonts w:hint="eastAsia"/>
          <w:color w:val="000000" w:themeColor="text1"/>
          <w14:textFill>
            <w14:solidFill>
              <w14:schemeClr w14:val="tx1"/>
            </w14:solidFill>
          </w14:textFill>
        </w:rPr>
        <w:t>（仅供参考）</w:t>
      </w:r>
      <w:bookmarkEnd w:id="31"/>
      <w:bookmarkEnd w:id="32"/>
      <w:bookmarkEnd w:id="33"/>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permStart w:id="34" w:edGrp="everyone"/>
      <w:bookmarkStart w:id="34" w:name="_Toc351203633"/>
      <w:bookmarkStart w:id="35" w:name="_Toc488157401"/>
      <w:bookmarkStart w:id="36" w:name="_Toc272218555"/>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Start w:id="37" w:name="_Toc292559361"/>
      <w:bookmarkStart w:id="38" w:name="_Toc292559866"/>
      <w:bookmarkStart w:id="39" w:name="_Toc296346657"/>
      <w:bookmarkStart w:id="40" w:name="_Toc296347155"/>
      <w:bookmarkStart w:id="41" w:name="_Toc296503156"/>
      <w:bookmarkStart w:id="42" w:name="_Toc296890984"/>
      <w:bookmarkStart w:id="43" w:name="_Toc296891196"/>
      <w:bookmarkStart w:id="44" w:name="_Toc296944495"/>
      <w:bookmarkStart w:id="45" w:name="_Toc297048342"/>
      <w:bookmarkStart w:id="46" w:name="_Toc297120456"/>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一般约定</w:t>
      </w:r>
      <w:bookmarkEnd w:id="34"/>
    </w:p>
    <w:bookmarkEnd w:id="37"/>
    <w:bookmarkEnd w:id="38"/>
    <w:bookmarkEnd w:id="39"/>
    <w:bookmarkEnd w:id="40"/>
    <w:bookmarkEnd w:id="41"/>
    <w:bookmarkEnd w:id="42"/>
    <w:bookmarkEnd w:id="43"/>
    <w:bookmarkEnd w:id="44"/>
    <w:bookmarkEnd w:id="45"/>
    <w:bookmarkEnd w:id="4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词语定义</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1.1.1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w:t>
      </w:r>
    </w:p>
    <w:p>
      <w:pPr>
        <w:ind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1.1.1.10</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其他合同文件包括：执行通用合同条款相关规定；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合同当事人及其他相关方</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1.1.2.4</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名</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称：据实填写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资质类别和等级：据实填写；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联系电话：据实填写；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电子信箱：据实填写；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通信地址：据实填写。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1.1.2.5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设计人：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名</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称：据实填写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资质类别和等级：据实填写；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联系电话：据实填写；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电子信箱：据实填写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通信地址：据实填写。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工程和设备</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1.1.3.7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作为施工现场组成部分的其他场所包括：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1.1.3.9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永久占地包括：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1.1.3.10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临时占地包括：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法律</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适用于合同的其他规范性文件：《中华人民共和国建筑法》、《中华人民共和国合同法》、《中华人民共和国招标投标法》、《建设工程质量管理条例》、《建设工程安全生产管理条例》、《安徽省建设工程造价管理办法》、《建设工程监理规范》（</w:t>
      </w:r>
      <w:r>
        <w:rPr>
          <w:rFonts w:ascii="宋体" w:hAnsi="宋体" w:cs="Arial" w:eastAsiaTheme="minorEastAsia"/>
          <w:color w:val="000000" w:themeColor="text1"/>
          <w:kern w:val="2"/>
          <w:sz w:val="21"/>
          <w:szCs w:val="21"/>
          <w:lang w:val="en-US" w:eastAsia="zh-CN" w:bidi="ar-SA"/>
          <w14:textFill>
            <w14:solidFill>
              <w14:schemeClr w14:val="tx1"/>
            </w14:solidFill>
          </w14:textFill>
        </w:rPr>
        <w:t>GB/T50319-2013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）、《安徽省建设工程管理条例》等国家及黄山市现行现行法律法规和规章。</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标准和规范</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1.4.1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适用于工程的标准规范包括：执行通用条款</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发包人提供国外标准、规范的名称：</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发包人提供国外标准、规范的份数：</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发包人提供国外标准、规范的名称：</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1.4.3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发包人对工程的技术标准和功能要求的特殊要求：</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合同文件的优先顺序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合同文件组成及优先顺序为：（</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）合同协议书；（</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）中标通知书（</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）投标书及其附件；（</w:t>
      </w:r>
      <w:r>
        <w:rPr>
          <w:rFonts w:ascii="宋体" w:hAnsi="宋体" w:cs="Arial" w:eastAsiaTheme="minorEastAsia"/>
          <w:color w:val="000000" w:themeColor="text1"/>
          <w:kern w:val="2"/>
          <w:sz w:val="21"/>
          <w:szCs w:val="21"/>
          <w:lang w:val="en-US" w:eastAsia="zh-CN" w:bidi="ar-SA"/>
          <w14:textFill>
            <w14:solidFill>
              <w14:schemeClr w14:val="tx1"/>
            </w14:solidFill>
          </w14:textFill>
        </w:rPr>
        <w:t>4</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）专用合同条款及其附件（含补充条款，补充条款与专用条款不一致时以补充条款为准）；（</w:t>
      </w:r>
      <w:r>
        <w:rPr>
          <w:rFonts w:ascii="宋体" w:hAnsi="宋体" w:cs="Arial" w:eastAsiaTheme="minorEastAsia"/>
          <w:color w:val="000000" w:themeColor="text1"/>
          <w:kern w:val="2"/>
          <w:sz w:val="21"/>
          <w:szCs w:val="21"/>
          <w:lang w:val="en-US" w:eastAsia="zh-CN" w:bidi="ar-SA"/>
          <w14:textFill>
            <w14:solidFill>
              <w14:schemeClr w14:val="tx1"/>
            </w14:solidFill>
          </w14:textFill>
        </w:rPr>
        <w:t>5</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）本合同通用合同条款；（</w:t>
      </w:r>
      <w:r>
        <w:rPr>
          <w:rFonts w:ascii="宋体" w:hAnsi="宋体" w:cs="Arial" w:eastAsiaTheme="minorEastAsia"/>
          <w:color w:val="000000" w:themeColor="text1"/>
          <w:kern w:val="2"/>
          <w:sz w:val="21"/>
          <w:szCs w:val="21"/>
          <w:lang w:val="en-US" w:eastAsia="zh-CN" w:bidi="ar-SA"/>
          <w14:textFill>
            <w14:solidFill>
              <w14:schemeClr w14:val="tx1"/>
            </w14:solidFill>
          </w14:textFill>
        </w:rPr>
        <w:t>6</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）技术标准和要求；（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7</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）图纸；（</w:t>
      </w:r>
      <w:r>
        <w:rPr>
          <w:rFonts w:ascii="宋体" w:hAnsi="宋体" w:cs="Arial" w:eastAsiaTheme="minorEastAsia"/>
          <w:color w:val="000000" w:themeColor="text1"/>
          <w:kern w:val="2"/>
          <w:sz w:val="21"/>
          <w:szCs w:val="21"/>
          <w:lang w:val="en-US" w:eastAsia="zh-CN" w:bidi="ar-SA"/>
          <w14:textFill>
            <w14:solidFill>
              <w14:schemeClr w14:val="tx1"/>
            </w14:solidFill>
          </w14:textFill>
        </w:rPr>
        <w:t>8</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）已标价工程量清单；（</w:t>
      </w:r>
      <w:r>
        <w:rPr>
          <w:rFonts w:ascii="宋体" w:hAnsi="宋体" w:cs="Arial" w:eastAsiaTheme="minorEastAsia"/>
          <w:color w:val="000000" w:themeColor="text1"/>
          <w:kern w:val="2"/>
          <w:sz w:val="21"/>
          <w:szCs w:val="21"/>
          <w:lang w:val="en-US" w:eastAsia="zh-CN" w:bidi="ar-SA"/>
          <w14:textFill>
            <w14:solidFill>
              <w14:schemeClr w14:val="tx1"/>
            </w14:solidFill>
          </w14:textFill>
        </w:rPr>
        <w:t>9</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）其他合同文件。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图纸和承包人文件</w:t>
      </w:r>
      <w:r>
        <w:rPr>
          <w:rFonts w:ascii="宋体" w:hAnsi="宋体" w:cs="Arial" w:eastAsiaTheme="minorEastAsia"/>
          <w:color w:val="000000" w:themeColor="text1"/>
          <w:kern w:val="2"/>
          <w:sz w:val="21"/>
          <w:szCs w:val="21"/>
          <w:lang w:val="en-US" w:eastAsia="zh-CN" w:bidi="ar-SA"/>
          <w14:textFill>
            <w14:solidFill>
              <w14:schemeClr w14:val="tx1"/>
            </w14:solidFill>
          </w14:textFill>
        </w:rPr>
        <w:tab/>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图纸的提供</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发包人向承包人提供图纸的期限：开工前提供；</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发包人向承包人提供图纸的数量：另定；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发包人向承包人提供图纸的内容：全套施工图纸。</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承包人文件</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需要由承包人提供的文件，包括：施工组织设计、项目机构人员配备、进度计划、隐蔽验收资料和竣工资料及其它需要的技术文件等；</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承包人提供的文件的期限为：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承包人提供的文件的数量为：另定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承包人提供的文件的形式为：另定；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发包人审批承包人文件的期限：另定。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现场图纸准备</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关于现场图纸准备的约定：另定。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联络</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1.7.1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发包人和承包人应当在</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天内将与合同有关的通知、批准、证明、证书、指示、指令、要求、请求、同意、意见、确定和决定等书面函件送达对方当事人。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1.7.2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发包人接收文件的地点：发包人办公室；</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发包人指定的接收人为：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承包人接收文件的地点：</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承包人指定的接收人为：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监理人接收文件的地点：</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监理人指定的接收人为：另定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1.10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交通运输</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Start w:id="47" w:name="_Toc303539100"/>
      <w:bookmarkStart w:id="48" w:name="_Toc300934943"/>
      <w:bookmarkStart w:id="49" w:name="_Toc318581155"/>
      <w:bookmarkStart w:id="50" w:name="_Toc304295521"/>
      <w:bookmarkStart w:id="51" w:name="_Toc312677986"/>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.10.1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出入现场的权利</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关于出入现场的权利的约定：签合同前约定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47"/>
    <w:bookmarkEnd w:id="48"/>
    <w:bookmarkEnd w:id="49"/>
    <w:bookmarkEnd w:id="50"/>
    <w:bookmarkEnd w:id="51"/>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Start w:id="52" w:name="_Toc300934944"/>
      <w:bookmarkStart w:id="53" w:name="_Toc303539101"/>
      <w:bookmarkStart w:id="54" w:name="_Toc304295522"/>
      <w:bookmarkStart w:id="55" w:name="_Toc312677987"/>
      <w:bookmarkStart w:id="56" w:name="_Toc318581156"/>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.10.3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场内交通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关于场外交通和场内交通的边界的约定：另定。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关于发包人向承包人免费提供满足工程施工需要的场内道路和交通设施的约定：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bookmarkEnd w:id="52"/>
      <w:bookmarkEnd w:id="53"/>
      <w:bookmarkEnd w:id="54"/>
      <w:bookmarkEnd w:id="55"/>
      <w:bookmarkEnd w:id="56"/>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bookmarkStart w:id="57" w:name="_Toc318581157"/>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1.10.4</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超大件和超重件的运输</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运输超大件或超重件所需的道路和桥梁临时加固改造费用和其他有关费用由</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承担。</w:t>
      </w:r>
    </w:p>
    <w:bookmarkEnd w:id="57"/>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知识产权</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1.11.1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关于发包人提供给承包人的图纸、发包人为实施工程自行编制或委托编制的技术规范以及反映发包人关于合同要求或其他类似性质的文件的著作权的归属：发包人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关于发包人提供的上述文件的使用限制的要求：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p>
    <w:p>
      <w:pPr>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1.11.2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关于承包人为实施工程所编制文件的著作权的归属：承包人。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关于承包人提供的上述文件的使用限制的要求：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1.11.4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承包人在施工过程中所采用的专利、专有技术、技术秘密的使用费的承担方式：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1.13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工程量清单错误的修正</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出现工程量清单错误时，是否调整合同价格：</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允许调整合同价格的工程量偏差范围：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8" w:name="_Toc351203634"/>
      <w:r>
        <w:rPr>
          <w:rFonts w:ascii="宋体" w:hAnsi="宋体" w:cs="Arial" w:eastAsiaTheme="minorEastAsia"/>
          <w:color w:val="000000" w:themeColor="text1"/>
          <w:kern w:val="2"/>
          <w:sz w:val="21"/>
          <w:szCs w:val="21"/>
          <w:lang w:val="en-US" w:eastAsia="zh-CN" w:bidi="ar-SA"/>
          <w14:textFill>
            <w14:solidFill>
              <w14:schemeClr w14:val="tx1"/>
            </w14:solidFill>
          </w14:textFill>
        </w:rPr>
        <w:t>2</w:t>
      </w:r>
      <w:bookmarkStart w:id="59" w:name="_Toc292559362"/>
      <w:bookmarkStart w:id="60" w:name="_Toc292559867"/>
      <w:bookmarkStart w:id="61" w:name="_Toc296346658"/>
      <w:bookmarkStart w:id="62" w:name="_Toc296347156"/>
      <w:bookmarkStart w:id="63" w:name="_Toc296503157"/>
      <w:bookmarkStart w:id="64" w:name="_Toc296890985"/>
      <w:bookmarkStart w:id="65" w:name="_Toc296891197"/>
      <w:bookmarkStart w:id="66" w:name="_Toc296944496"/>
      <w:bookmarkStart w:id="67" w:name="_Toc297048343"/>
      <w:bookmarkStart w:id="68" w:name="_Toc297120457"/>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w:t>
      </w:r>
      <w:bookmarkEnd w:id="58"/>
    </w:p>
    <w:bookmarkEnd w:id="59"/>
    <w:bookmarkEnd w:id="60"/>
    <w:bookmarkEnd w:id="61"/>
    <w:bookmarkEnd w:id="62"/>
    <w:bookmarkEnd w:id="63"/>
    <w:bookmarkEnd w:id="64"/>
    <w:bookmarkEnd w:id="65"/>
    <w:bookmarkEnd w:id="66"/>
    <w:bookmarkEnd w:id="67"/>
    <w:bookmarkEnd w:id="68"/>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发包人代表</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发包人代表：</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姓</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名：据实填写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身份证号：据实填写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职</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务：据实填写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联系电话：</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电子信箱：据实填写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通信地址：据实填写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发包人对发包人代表的授权范围如下：另定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施工现场、施工条件和基础资料的提供</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2.4.1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提供施工现场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关于发包人移交施工现场的期限要求：另定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2.4.2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提供施工条件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关于发包人应负责提供施工所需要的条件，包括：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资金来源证明及支付担保</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发包人提供资金来源证明的期限要求：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签合同前约定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发包人是否提供支付担保：</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否</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发包人提供支付担保的形式：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69" w:name="_Toc351203635"/>
      <w:r>
        <w:rPr>
          <w:rFonts w:ascii="宋体" w:hAnsi="宋体" w:cs="Arial" w:eastAsiaTheme="minorEastAsia"/>
          <w:color w:val="000000" w:themeColor="text1"/>
          <w:kern w:val="2"/>
          <w:sz w:val="21"/>
          <w:szCs w:val="21"/>
          <w:lang w:val="en-US" w:eastAsia="zh-CN" w:bidi="ar-SA"/>
          <w14:textFill>
            <w14:solidFill>
              <w14:schemeClr w14:val="tx1"/>
            </w14:solidFill>
          </w14:textFill>
        </w:rPr>
        <w:t>3</w:t>
      </w:r>
      <w:bookmarkStart w:id="70" w:name="_Toc292559363"/>
      <w:bookmarkStart w:id="71" w:name="_Toc292559868"/>
      <w:bookmarkStart w:id="72" w:name="_Toc296346659"/>
      <w:bookmarkStart w:id="73" w:name="_Toc296347157"/>
      <w:bookmarkStart w:id="74" w:name="_Toc296503158"/>
      <w:bookmarkStart w:id="75" w:name="_Toc296890986"/>
      <w:bookmarkStart w:id="76" w:name="_Toc296891198"/>
      <w:bookmarkStart w:id="77" w:name="_Toc296944497"/>
      <w:bookmarkStart w:id="78" w:name="_Toc297048344"/>
      <w:bookmarkStart w:id="79" w:name="_Toc297120458"/>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w:t>
      </w:r>
      <w:bookmarkEnd w:id="69"/>
    </w:p>
    <w:bookmarkEnd w:id="70"/>
    <w:bookmarkEnd w:id="71"/>
    <w:bookmarkEnd w:id="72"/>
    <w:bookmarkEnd w:id="73"/>
    <w:bookmarkEnd w:id="74"/>
    <w:bookmarkEnd w:id="75"/>
    <w:bookmarkEnd w:id="76"/>
    <w:bookmarkEnd w:id="77"/>
    <w:bookmarkEnd w:id="78"/>
    <w:bookmarkEnd w:id="7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承包人的一般义务</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5</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）承包人提交的竣工资料的内容：全套竣工图及建设行政部门验收备案时要求提供的竣工档案。</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承包人需要提交的竣工资料套数：</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承包人提交的竣工资料的费用承担：</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承包人提交的竣工资料移交时间：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承包人提交的竣工资料形式要求：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6</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应履行的其他义务：①承包人应按发包人的指令，完成发包人要求的对工程内容的任何增加和减少；②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③承包人应按照政府相关规定，建立健全的雇员工资发放和劳动保障制度。如因雇员的工资发放和劳动保障制度不健全而引发纠纷，导致民工围堵发包人等的，发包人有权解除合同，并要求承包人退场。（发包人违约的除外）；④承包人使用的临时用水、临时用电等设施在合同的执行期间，如发包人要求为其他承包人提供分表借口的，承包人应予以配合；⑤ 承包人进入现场施工，要做好现场安全文明施工及已有成品保护工作。现场运输材料、堆放材料等造成路面的污染，承包人应该有专人负责跟踪打扫；现场施工及生活垃圾产生的垃圾应该有人清楚；⑥承包人应负责提供完成合同所需的劳务、材料、施工设备、工程设备和其他物品，并按合同约定负责临时设施的设计、建造、运行、维护、管理和拆除。</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项目经理</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3.2.1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项目经理：</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姓</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名：据实填写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身份证号：据实填写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建造师执业资格等级：据实填写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建造师注册证书号：据实填写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建造师执业印章号：据实填写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安全生产考核合格证书号：据实填写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联系电话：据实填写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电子信箱：据实填写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通信地址：据实填写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承包人对项目经理的授权范围如下：另定。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关于项目经理每月在施工现场的时间要求：开工之日起到竣工结束，在正常施工工程中，项目经理每周至少5日，每天至少8个小时在现场组织施工</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承包人未提交劳动合同，以及没有为项目经理缴纳社会保险证明的违约责任：承包人承担5000元的违约金，责令限期提交劳动合同并补缴社会保险。</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项目经理未经批准，擅自离开施工现场的违约责任：发包人有权要求承包人承担1000元/次的违约金，经发包人同意的除外。</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3.2.3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承包人擅自更换项目经理的违约责任：发包人有权要求承包人承担5000元的违约金，由此产生的一切损失及后果由承包人承担。</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3.2.4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承包人无正当理由拒绝更换项目经理的违约责任：发包人有权要求承包人承担5000元的违约金，由此产生的一切损失及后果由承包人承担，经发包人同意的除外。</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承包人人员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承包人提交项目管理机构及施工现场管理人员安排报告的期限：开工前7天。</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3.3.3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承包人无正当理由拒绝撤换主要施工管理人员的违约责任：另定。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3.3.4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承包人主要施工管理人员离开施工现场的批准要求：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3.3.5</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承包人擅自更换主要施工管理人员的违约责任：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承包人主要施工管理人员擅自离开施工现场的违约责任：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3</w:t>
      </w:r>
      <w:bookmarkStart w:id="80" w:name="_Toc292559364"/>
      <w:bookmarkStart w:id="81" w:name="_Toc292559869"/>
      <w:bookmarkStart w:id="82" w:name="_Toc296346660"/>
      <w:bookmarkStart w:id="83" w:name="_Toc296347158"/>
      <w:bookmarkStart w:id="84" w:name="_Toc296503159"/>
      <w:bookmarkStart w:id="85" w:name="_Toc296890987"/>
      <w:bookmarkStart w:id="86" w:name="_Toc296891199"/>
      <w:bookmarkStart w:id="87" w:name="_Toc296944498"/>
      <w:bookmarkStart w:id="88" w:name="_Toc297048345"/>
      <w:bookmarkStart w:id="89" w:name="_Toc297120459"/>
      <w:bookmarkStart w:id="90" w:name="_Toc297123492"/>
      <w:bookmarkStart w:id="91" w:name="_Toc297216151"/>
      <w:bookmarkStart w:id="92" w:name="_Toc300934945"/>
      <w:bookmarkStart w:id="93" w:name="_Toc303539102"/>
      <w:bookmarkStart w:id="94" w:name="_Toc304295523"/>
      <w:bookmarkStart w:id="95" w:name="_Toc312677988"/>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3</w:t>
      </w:r>
      <w:bookmarkStart w:id="96" w:name="_Toc292559365"/>
      <w:bookmarkStart w:id="97" w:name="_Toc292559870"/>
      <w:bookmarkStart w:id="98" w:name="_Toc296346661"/>
      <w:bookmarkStart w:id="99" w:name="_Toc296347159"/>
      <w:bookmarkStart w:id="100" w:name="_Toc296503160"/>
      <w:bookmarkStart w:id="101" w:name="_Toc296890988"/>
      <w:bookmarkStart w:id="102" w:name="_Toc296891200"/>
      <w:bookmarkStart w:id="103" w:name="_Toc296944499"/>
      <w:bookmarkStart w:id="104" w:name="_Toc297048346"/>
      <w:bookmarkStart w:id="105" w:name="_Toc297120460"/>
      <w:bookmarkStart w:id="106" w:name="_Toc297123493"/>
      <w:bookmarkStart w:id="107" w:name="_Toc297216152"/>
      <w:bookmarkStart w:id="108" w:name="_Toc300934946"/>
      <w:bookmarkStart w:id="109" w:name="_Toc303539103"/>
      <w:bookmarkStart w:id="110" w:name="_Toc304295524"/>
      <w:bookmarkStart w:id="111" w:name="_Toc312677989"/>
      <w:bookmarkStart w:id="112" w:name="_Toc318581158"/>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.5.1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分包的一般约定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禁止分包的工程包括：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不分包</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主体结构、关键性工作的范围：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Start w:id="113" w:name="_Toc296346662"/>
      <w:bookmarkStart w:id="114" w:name="_Toc296347160"/>
      <w:bookmarkStart w:id="115" w:name="_Toc296503161"/>
      <w:bookmarkStart w:id="116" w:name="_Toc296890989"/>
      <w:bookmarkStart w:id="117" w:name="_Toc296891201"/>
      <w:bookmarkStart w:id="118" w:name="_Toc296944500"/>
      <w:bookmarkStart w:id="119" w:name="_Toc297048347"/>
      <w:bookmarkStart w:id="120" w:name="_Toc297120461"/>
      <w:bookmarkStart w:id="121" w:name="_Toc297123494"/>
      <w:bookmarkStart w:id="122" w:name="_Toc297216153"/>
      <w:bookmarkStart w:id="123" w:name="_Toc300934947"/>
      <w:bookmarkStart w:id="124" w:name="_Toc303539104"/>
      <w:bookmarkStart w:id="125" w:name="_Toc304295525"/>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3</w:t>
      </w:r>
      <w:bookmarkStart w:id="126" w:name="_Toc318581159"/>
      <w:bookmarkStart w:id="127" w:name="_Toc312677990"/>
      <w:r>
        <w:rPr>
          <w:rFonts w:ascii="宋体" w:hAnsi="宋体" w:cs="Arial" w:eastAsiaTheme="minorEastAsia"/>
          <w:color w:val="000000" w:themeColor="text1"/>
          <w:kern w:val="2"/>
          <w:sz w:val="21"/>
          <w:szCs w:val="21"/>
          <w:lang w:val="en-US" w:eastAsia="zh-CN" w:bidi="ar-SA"/>
          <w14:textFill>
            <w14:solidFill>
              <w14:schemeClr w14:val="tx1"/>
            </w14:solidFill>
          </w14:textFill>
        </w:rPr>
        <w:t>.5.2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分包的确定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允许分包的专业工程包括：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不分包</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其他关于分包的约定：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3.5.4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分包合同价款</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关于分包合同价款支付的约定：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126"/>
    <w:bookmarkEnd w:id="127"/>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工程照管与成品、半成品保护</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承包人负责照管工程及工程相关的材料、工程设备的起始时间：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3.7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履约担保</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承包人是否提供履约担保：</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是</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承包人提供履约担保的形式、金额及期限的：</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现金或银行转账；中标合同金额的10</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128" w:name="_Toc351203636"/>
      <w:r>
        <w:rPr>
          <w:rFonts w:ascii="宋体" w:hAnsi="宋体" w:cs="Arial" w:eastAsiaTheme="minorEastAsia"/>
          <w:color w:val="000000" w:themeColor="text1"/>
          <w:kern w:val="2"/>
          <w:sz w:val="21"/>
          <w:szCs w:val="21"/>
          <w:lang w:val="en-US" w:eastAsia="zh-CN" w:bidi="ar-SA"/>
          <w14:textFill>
            <w14:solidFill>
              <w14:schemeClr w14:val="tx1"/>
            </w14:solidFill>
          </w14:textFill>
        </w:rPr>
        <w:t>4</w:t>
      </w:r>
      <w:bookmarkStart w:id="129" w:name="_Toc292559366"/>
      <w:bookmarkStart w:id="130" w:name="_Toc292559871"/>
      <w:bookmarkStart w:id="131" w:name="_Toc267251413"/>
      <w:bookmarkStart w:id="132" w:name="_Toc296346663"/>
      <w:bookmarkStart w:id="133" w:name="_Toc296347161"/>
      <w:bookmarkStart w:id="134" w:name="_Toc296503162"/>
      <w:bookmarkStart w:id="135" w:name="_Toc296890990"/>
      <w:bookmarkStart w:id="136" w:name="_Toc296891202"/>
      <w:bookmarkStart w:id="137" w:name="_Toc296944501"/>
      <w:bookmarkStart w:id="138" w:name="_Toc297048348"/>
      <w:bookmarkStart w:id="139" w:name="_Toc297120462"/>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w:t>
      </w:r>
      <w:bookmarkEnd w:id="129"/>
      <w:bookmarkEnd w:id="130"/>
      <w:bookmarkEnd w:id="131"/>
      <w:bookmarkEnd w:id="132"/>
      <w:bookmarkEnd w:id="133"/>
      <w:bookmarkEnd w:id="134"/>
      <w:bookmarkEnd w:id="135"/>
      <w:bookmarkEnd w:id="136"/>
      <w:bookmarkEnd w:id="137"/>
      <w:bookmarkEnd w:id="138"/>
      <w:bookmarkEnd w:id="139"/>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理人</w:t>
      </w:r>
      <w:bookmarkEnd w:id="128"/>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4.1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监理人的一般规定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关于监理人的监理内容：</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关于监理人的监理权限：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关于监理人在施工现场的办公场所、生活场所的提供和费用承担的约定：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4.2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总监理工程师：</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姓</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名：据实填写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职</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务：据实填写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监理工程师执业资格证书号：据实填写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联系电话：据实填写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电子信箱：据实填写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通信地址：据实填写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关于监理人的其他约定：另定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4.4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商定或确定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140" w:name="_Toc267251418"/>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在发包人和承包人不能通过协商达成一致意见时，发包人授权监理人对以下事项进行确定：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141" w:name="_Toc351203637"/>
      <w:r>
        <w:rPr>
          <w:rFonts w:ascii="宋体" w:hAnsi="宋体" w:cs="Arial" w:eastAsiaTheme="minorEastAsia"/>
          <w:color w:val="000000" w:themeColor="text1"/>
          <w:kern w:val="2"/>
          <w:sz w:val="21"/>
          <w:szCs w:val="21"/>
          <w:lang w:val="en-US" w:eastAsia="zh-CN" w:bidi="ar-SA"/>
          <w14:textFill>
            <w14:solidFill>
              <w14:schemeClr w14:val="tx1"/>
            </w14:solidFill>
          </w14:textFill>
        </w:rPr>
        <w:t>5</w:t>
      </w:r>
      <w:bookmarkEnd w:id="140"/>
      <w:bookmarkStart w:id="142" w:name="_Toc296346664"/>
      <w:bookmarkStart w:id="143" w:name="_Toc296347162"/>
      <w:bookmarkStart w:id="144" w:name="_Toc296890991"/>
      <w:bookmarkStart w:id="145" w:name="_Toc297048349"/>
      <w:bookmarkStart w:id="146" w:name="_Toc297120463"/>
      <w:bookmarkStart w:id="147" w:name="_Toc292559872"/>
      <w:bookmarkStart w:id="148" w:name="_Toc296503163"/>
      <w:bookmarkStart w:id="149" w:name="_Toc296891203"/>
      <w:bookmarkStart w:id="150" w:name="_Toc296944502"/>
      <w:bookmarkStart w:id="151" w:name="_Toc292559367"/>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工程质量</w:t>
      </w:r>
      <w:bookmarkEnd w:id="141"/>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5.1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质量要求</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5</w:t>
      </w:r>
      <w:bookmarkStart w:id="152" w:name="_Toc297123496"/>
      <w:bookmarkStart w:id="153" w:name="_Toc300934949"/>
      <w:bookmarkStart w:id="154" w:name="_Toc312677997"/>
      <w:bookmarkStart w:id="155" w:name="_Toc297216155"/>
      <w:bookmarkStart w:id="156" w:name="_Toc318581164"/>
      <w:bookmarkStart w:id="157" w:name="_Toc304295527"/>
      <w:bookmarkStart w:id="158" w:name="_Toc303539106"/>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特殊质量标准和要求：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一次性验收合格</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关于工程奖项的约定：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5.3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隐蔽工程检查</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5.3.2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承包人提前通知监理人隐蔽工程检查的期限的约定：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监理人不能按时进行检查时，应提前</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小时提交书面延期要求。</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关于延期最长不得超过：</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小时。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159" w:name="_Toc351203638"/>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安全文明施工与环境保护</w:t>
      </w:r>
      <w:bookmarkEnd w:id="159"/>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6.1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安全文明施工</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6.1.1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项目安全生产的达标目标及相应事项的约定：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6.1.4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关于治安保卫的特别约定：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关于编制施工场地治安管理计划的约定：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6.1.5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文明施工</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合同当事人对文明施工的要求：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6.1.6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关于安全文明施工费支付比例和支付期限的约定：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152"/>
    <w:bookmarkEnd w:id="153"/>
    <w:bookmarkEnd w:id="154"/>
    <w:bookmarkEnd w:id="155"/>
    <w:bookmarkEnd w:id="156"/>
    <w:bookmarkEnd w:id="157"/>
    <w:bookmarkEnd w:id="158"/>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160" w:name="_Toc351203639"/>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工期和进度</w:t>
      </w:r>
      <w:bookmarkEnd w:id="160"/>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施工组织设计</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7.1.1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合同当事人约定的施工组织设计应包括的其他内容：按投标文件约定。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7.1.2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施工组织设计的提交和修改</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承包人提交详细施工组织设计的期限的约定：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发包人和监理人在收到详细的施工组织设计后确认或提出修改意见的期限：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w:t>
      </w:r>
      <w:bookmarkStart w:id="161" w:name="_Toc312677479"/>
      <w:bookmarkStart w:id="162" w:name="_Toc297216173"/>
      <w:bookmarkStart w:id="163" w:name="_Toc300934966"/>
      <w:bookmarkStart w:id="164" w:name="_Toc297123514"/>
      <w:bookmarkStart w:id="165" w:name="_Toc304295541"/>
      <w:bookmarkStart w:id="166" w:name="_Toc303539123"/>
      <w:bookmarkStart w:id="167" w:name="_Toc312678005"/>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施工进度计划</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7.2.2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施工进度计划的修订</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发包人和监理人在收到修订的施工进度计划后确认或提出修改意见的期限：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开工</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开工准备</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关于承包人提交工程开工报审表的期限：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关于发包人应完成的其他开工准备工作及期限：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关于承包人应完成的其他开工准备工作及期限：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7.3.2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开工通知</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因发包人原因造成监理人未能在计划开工日期之日起另定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天内发出开工通知的，承包人有权提出价格调整要求，或者解除合同。</w:t>
      </w:r>
    </w:p>
    <w:bookmarkEnd w:id="161"/>
    <w:bookmarkEnd w:id="162"/>
    <w:bookmarkEnd w:id="163"/>
    <w:bookmarkEnd w:id="164"/>
    <w:bookmarkEnd w:id="165"/>
    <w:bookmarkEnd w:id="166"/>
    <w:bookmarkEnd w:id="167"/>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测量放线</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7.4.1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发包人通过监理人向承包人提供测量基准点、基准线和水准点及其书面资料的期限：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w:t>
      </w:r>
      <w:bookmarkStart w:id="168" w:name="_Toc297123516"/>
      <w:bookmarkStart w:id="169" w:name="_Toc297216175"/>
      <w:bookmarkStart w:id="170" w:name="_Toc300934968"/>
      <w:bookmarkStart w:id="171" w:name="_Toc303539125"/>
      <w:bookmarkStart w:id="172" w:name="_Toc304295546"/>
      <w:bookmarkStart w:id="173" w:name="_Toc312677484"/>
      <w:bookmarkStart w:id="174" w:name="_Toc312678010"/>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工期延误</w:t>
      </w:r>
    </w:p>
    <w:bookmarkEnd w:id="168"/>
    <w:bookmarkEnd w:id="169"/>
    <w:bookmarkEnd w:id="170"/>
    <w:bookmarkEnd w:id="171"/>
    <w:bookmarkEnd w:id="172"/>
    <w:bookmarkEnd w:id="173"/>
    <w:bookmarkEnd w:id="174"/>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7.5.1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因发包人原因导致工期延误</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7</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）因发包人原因导致工期延误的其他情形：</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w:t>
      </w:r>
      <w:bookmarkStart w:id="175" w:name="_Toc318581169"/>
      <w:bookmarkStart w:id="176" w:name="_Toc312677486"/>
      <w:bookmarkStart w:id="177" w:name="_Toc312678012"/>
      <w:bookmarkStart w:id="178" w:name="_Toc297123518"/>
      <w:bookmarkStart w:id="179" w:name="_Toc297216177"/>
      <w:bookmarkStart w:id="180" w:name="_Toc300934970"/>
      <w:bookmarkStart w:id="181" w:name="_Toc303539127"/>
      <w:bookmarkStart w:id="182" w:name="_Toc304295548"/>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.5.2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因承包人原因导致工期延误</w:t>
      </w:r>
    </w:p>
    <w:bookmarkEnd w:id="175"/>
    <w:bookmarkEnd w:id="176"/>
    <w:bookmarkEnd w:id="177"/>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w:t>
      </w:r>
      <w:bookmarkStart w:id="183" w:name="_Toc312677487"/>
      <w:bookmarkStart w:id="184" w:name="_Toc312678013"/>
      <w:bookmarkStart w:id="185" w:name="_Toc318581170"/>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承包人原因造成工期延误，逾期竣工违约金的计算方法为：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bookmarkEnd w:id="178"/>
      <w:bookmarkEnd w:id="179"/>
      <w:bookmarkEnd w:id="180"/>
      <w:bookmarkEnd w:id="181"/>
      <w:bookmarkEnd w:id="182"/>
      <w:bookmarkEnd w:id="183"/>
      <w:bookmarkEnd w:id="184"/>
    </w:p>
    <w:bookmarkEnd w:id="185"/>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因承包人原因造成工期延误，逾</w:t>
      </w:r>
      <w:bookmarkStart w:id="186" w:name="_Toc318581171"/>
      <w:bookmarkStart w:id="187" w:name="_Toc312678014"/>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期竣工违约金的上限：另定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186"/>
    <w:bookmarkEnd w:id="187"/>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w:t>
      </w:r>
      <w:bookmarkStart w:id="188" w:name="_Toc303539128"/>
      <w:bookmarkStart w:id="189" w:name="_Toc300934971"/>
      <w:bookmarkStart w:id="190" w:name="_Toc312678015"/>
      <w:bookmarkStart w:id="191" w:name="_Toc297123519"/>
      <w:bookmarkStart w:id="192" w:name="_Toc297216178"/>
      <w:bookmarkStart w:id="193" w:name="_Toc304295549"/>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w:t>
      </w:r>
      <w:bookmarkEnd w:id="188"/>
      <w:bookmarkEnd w:id="189"/>
      <w:bookmarkEnd w:id="190"/>
      <w:bookmarkEnd w:id="191"/>
      <w:bookmarkEnd w:id="192"/>
      <w:bookmarkEnd w:id="193"/>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利物质条件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194" w:name="_Toc304295550"/>
      <w:bookmarkStart w:id="195" w:name="_Toc312678016"/>
      <w:bookmarkStart w:id="196" w:name="_Toc318581172"/>
      <w:bookmarkStart w:id="197" w:name="_Toc297123520"/>
      <w:bookmarkStart w:id="198" w:name="_Toc297216179"/>
      <w:bookmarkStart w:id="199" w:name="_Toc300934972"/>
      <w:bookmarkStart w:id="200" w:name="_Toc303539129"/>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不利物质条件的其他情形和有关约定：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194"/>
    <w:bookmarkEnd w:id="195"/>
    <w:bookmarkEnd w:id="196"/>
    <w:bookmarkEnd w:id="197"/>
    <w:bookmarkEnd w:id="198"/>
    <w:bookmarkEnd w:id="199"/>
    <w:bookmarkEnd w:id="200"/>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w:t>
      </w:r>
      <w:bookmarkStart w:id="201" w:name="_Toc297216180"/>
      <w:bookmarkStart w:id="202" w:name="_Toc300934973"/>
      <w:bookmarkStart w:id="203" w:name="_Toc297123521"/>
      <w:bookmarkStart w:id="204" w:name="_Toc304295551"/>
      <w:bookmarkStart w:id="205" w:name="_Toc312678017"/>
      <w:bookmarkStart w:id="206" w:name="_Toc303539130"/>
      <w:r>
        <w:rPr>
          <w:rFonts w:ascii="宋体" w:hAnsi="宋体" w:cs="Arial" w:eastAsiaTheme="minorEastAsia"/>
          <w:color w:val="000000" w:themeColor="text1"/>
          <w:kern w:val="2"/>
          <w:sz w:val="21"/>
          <w:szCs w:val="21"/>
          <w:lang w:val="en-US" w:eastAsia="zh-CN" w:bidi="ar-SA"/>
          <w14:textFill>
            <w14:solidFill>
              <w14:schemeClr w14:val="tx1"/>
            </w14:solidFill>
          </w14:textFill>
        </w:rPr>
        <w:t>.7</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异常恶劣的气候条件</w:t>
      </w:r>
    </w:p>
    <w:bookmarkEnd w:id="201"/>
    <w:bookmarkEnd w:id="202"/>
    <w:bookmarkEnd w:id="203"/>
    <w:bookmarkEnd w:id="204"/>
    <w:bookmarkEnd w:id="205"/>
    <w:bookmarkEnd w:id="20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发包人和承包人同意以下情形视为异常恶劣的气候条件：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7.9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提前竣工的奖励</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7.9.2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提前竣工的奖励：</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207" w:name="_Toc351203640"/>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8.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材料与设备</w:t>
      </w:r>
      <w:bookmarkEnd w:id="207"/>
    </w:p>
    <w:bookmarkEnd w:id="142"/>
    <w:bookmarkEnd w:id="143"/>
    <w:bookmarkEnd w:id="144"/>
    <w:bookmarkEnd w:id="145"/>
    <w:bookmarkEnd w:id="146"/>
    <w:bookmarkEnd w:id="147"/>
    <w:bookmarkEnd w:id="148"/>
    <w:bookmarkEnd w:id="149"/>
    <w:bookmarkEnd w:id="150"/>
    <w:bookmarkEnd w:id="151"/>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8</w:t>
      </w:r>
      <w:bookmarkStart w:id="208" w:name="_Toc280868654"/>
      <w:bookmarkStart w:id="209" w:name="_Toc292559372"/>
      <w:bookmarkStart w:id="210" w:name="_Toc292559877"/>
      <w:bookmarkStart w:id="211" w:name="_Toc296346668"/>
      <w:bookmarkStart w:id="212" w:name="_Toc296347166"/>
      <w:bookmarkStart w:id="213" w:name="_Toc296503167"/>
      <w:bookmarkStart w:id="214" w:name="_Toc296890995"/>
      <w:bookmarkStart w:id="215" w:name="_Toc296891207"/>
      <w:bookmarkStart w:id="216" w:name="_Toc296944506"/>
      <w:bookmarkStart w:id="217" w:name="_Toc297048353"/>
      <w:bookmarkStart w:id="218" w:name="_Toc297120467"/>
      <w:bookmarkStart w:id="219" w:name="_Toc297123527"/>
      <w:bookmarkStart w:id="220" w:name="_Toc297216186"/>
      <w:bookmarkStart w:id="221" w:name="_Toc300934979"/>
      <w:bookmarkStart w:id="222" w:name="_Toc303539136"/>
      <w:bookmarkStart w:id="223" w:name="_Toc304295556"/>
      <w:bookmarkStart w:id="224" w:name="_Toc312677493"/>
      <w:bookmarkStart w:id="225" w:name="_Toc312678019"/>
      <w:bookmarkStart w:id="226" w:name="_Toc280868656"/>
      <w:bookmarkStart w:id="227" w:name="_Toc267251424"/>
      <w:bookmarkStart w:id="228" w:name="_Toc280868655"/>
      <w:r>
        <w:rPr>
          <w:rFonts w:ascii="宋体" w:hAnsi="宋体" w:cs="Arial" w:eastAsiaTheme="minorEastAsia"/>
          <w:color w:val="000000" w:themeColor="text1"/>
          <w:kern w:val="2"/>
          <w:sz w:val="21"/>
          <w:szCs w:val="21"/>
          <w:lang w:val="en-US" w:eastAsia="zh-CN" w:bidi="ar-SA"/>
          <w14:textFill>
            <w14:solidFill>
              <w14:schemeClr w14:val="tx1"/>
            </w14:solidFill>
          </w14:textFill>
        </w:rPr>
        <w:t>.4</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材料与工程设备的保管与使用</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8</w:t>
      </w:r>
      <w:bookmarkStart w:id="229" w:name="_Toc292559373"/>
      <w:bookmarkStart w:id="230" w:name="_Toc292559878"/>
      <w:bookmarkStart w:id="231" w:name="_Toc296347167"/>
      <w:bookmarkStart w:id="232" w:name="_Toc296503168"/>
      <w:bookmarkStart w:id="233" w:name="_Toc296890996"/>
      <w:bookmarkStart w:id="234" w:name="_Toc296891208"/>
      <w:bookmarkStart w:id="235" w:name="_Toc297048354"/>
      <w:bookmarkStart w:id="236" w:name="_Toc296944507"/>
      <w:bookmarkStart w:id="237" w:name="_Toc297123528"/>
      <w:bookmarkStart w:id="238" w:name="_Toc297120468"/>
      <w:bookmarkStart w:id="239" w:name="_Toc300934980"/>
      <w:bookmarkStart w:id="240" w:name="_Toc297216187"/>
      <w:bookmarkStart w:id="241" w:name="_Toc304295557"/>
      <w:bookmarkStart w:id="242" w:name="_Toc303539137"/>
      <w:bookmarkStart w:id="243" w:name="_Toc312677494"/>
      <w:bookmarkStart w:id="244" w:name="_Toc312678020"/>
      <w:bookmarkStart w:id="245" w:name="_Toc318581173"/>
      <w:bookmarkStart w:id="246" w:name="_Toc296346669"/>
      <w:r>
        <w:rPr>
          <w:rFonts w:ascii="宋体" w:hAnsi="宋体" w:cs="Arial" w:eastAsiaTheme="minorEastAsia"/>
          <w:color w:val="000000" w:themeColor="text1"/>
          <w:kern w:val="2"/>
          <w:sz w:val="21"/>
          <w:szCs w:val="21"/>
          <w:lang w:val="en-US" w:eastAsia="zh-CN" w:bidi="ar-SA"/>
          <w14:textFill>
            <w14:solidFill>
              <w14:schemeClr w14:val="tx1"/>
            </w14:solidFill>
          </w14:textFill>
        </w:rPr>
        <w:t>.4.1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发包人供应的材料设备的保管费用的承担：</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bookmarkEnd w:id="229"/>
      <w:bookmarkEnd w:id="230"/>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8.6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样品</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8.6.1</w:t>
      </w:r>
      <w:r>
        <w:rPr>
          <w:rFonts w:ascii="宋体" w:hAnsi="宋体" w:cs="Arial" w:eastAsiaTheme="minorEastAsia"/>
          <w:color w:val="000000" w:themeColor="text1"/>
          <w:kern w:val="2"/>
          <w:sz w:val="21"/>
          <w:szCs w:val="21"/>
          <w:lang w:val="en-US" w:eastAsia="zh-CN" w:bidi="ar-SA"/>
          <w14:textFill>
            <w14:solidFill>
              <w14:schemeClr w14:val="tx1"/>
            </w14:solidFill>
          </w14:textFill>
        </w:rPr>
        <w:tab/>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样品的报送与封存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需要承包人报送样品的材料或工程设备，样品的种类、名称、规格、数量要求：</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8.8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施工设备和临时设施</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8.8.1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承包人提供的施工设备和临时设施</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关于修建临时设施费用承担的约定：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247" w:name="_Toc351203641"/>
      <w:r>
        <w:rPr>
          <w:rFonts w:ascii="宋体" w:hAnsi="宋体" w:cs="Arial" w:eastAsiaTheme="minorEastAsia"/>
          <w:color w:val="000000" w:themeColor="text1"/>
          <w:kern w:val="2"/>
          <w:sz w:val="21"/>
          <w:szCs w:val="21"/>
          <w:lang w:val="en-US" w:eastAsia="zh-CN" w:bidi="ar-SA"/>
          <w14:textFill>
            <w14:solidFill>
              <w14:schemeClr w14:val="tx1"/>
            </w14:solidFill>
          </w14:textFill>
        </w:rPr>
        <w:t>9</w:t>
      </w:r>
      <w:bookmarkEnd w:id="226"/>
      <w:bookmarkEnd w:id="227"/>
      <w:bookmarkEnd w:id="228"/>
      <w:bookmarkStart w:id="248" w:name="_Toc297123533"/>
      <w:bookmarkStart w:id="249" w:name="_Toc297216192"/>
      <w:bookmarkStart w:id="250" w:name="_Toc300934982"/>
      <w:bookmarkStart w:id="251" w:name="_Toc303539139"/>
      <w:bookmarkStart w:id="252" w:name="_Toc304295559"/>
      <w:bookmarkStart w:id="253" w:name="_Toc312677495"/>
      <w:bookmarkStart w:id="254" w:name="_Toc312678021"/>
      <w:bookmarkStart w:id="255" w:name="_Toc296347172"/>
      <w:bookmarkStart w:id="256" w:name="_Toc297120473"/>
      <w:bookmarkStart w:id="257" w:name="_Toc296891001"/>
      <w:bookmarkStart w:id="258" w:name="_Toc292559378"/>
      <w:bookmarkStart w:id="259" w:name="_Toc296891213"/>
      <w:bookmarkStart w:id="260" w:name="_Toc296944512"/>
      <w:bookmarkStart w:id="261" w:name="_Toc297048359"/>
      <w:bookmarkStart w:id="262" w:name="_Toc296346674"/>
      <w:bookmarkStart w:id="263" w:name="_Toc296503173"/>
      <w:bookmarkStart w:id="264" w:name="_Toc292559883"/>
      <w:bookmarkStart w:id="265" w:name="_Toc267251428"/>
      <w:bookmarkStart w:id="266" w:name="_Toc267251427"/>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试验与检验</w:t>
      </w:r>
      <w:bookmarkEnd w:id="247"/>
    </w:p>
    <w:bookmarkEnd w:id="248"/>
    <w:bookmarkEnd w:id="249"/>
    <w:bookmarkEnd w:id="250"/>
    <w:bookmarkEnd w:id="251"/>
    <w:bookmarkEnd w:id="252"/>
    <w:bookmarkEnd w:id="253"/>
    <w:bookmarkEnd w:id="254"/>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9</w:t>
      </w:r>
      <w:bookmarkStart w:id="267" w:name="_Toc304295560"/>
      <w:bookmarkStart w:id="268" w:name="_Toc312678022"/>
      <w:bookmarkStart w:id="269" w:name="_Toc297123534"/>
      <w:bookmarkStart w:id="270" w:name="_Toc312677496"/>
      <w:bookmarkStart w:id="271" w:name="_Toc303539140"/>
      <w:bookmarkStart w:id="272" w:name="_Toc300934983"/>
      <w:bookmarkStart w:id="273" w:name="_Toc297216193"/>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试验设备与试验人员</w:t>
      </w:r>
    </w:p>
    <w:bookmarkEnd w:id="267"/>
    <w:bookmarkEnd w:id="268"/>
    <w:bookmarkEnd w:id="269"/>
    <w:bookmarkEnd w:id="270"/>
    <w:bookmarkEnd w:id="271"/>
    <w:bookmarkEnd w:id="272"/>
    <w:bookmarkEnd w:id="273"/>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9</w:t>
      </w:r>
      <w:bookmarkStart w:id="274" w:name="_Toc297123535"/>
      <w:bookmarkStart w:id="275" w:name="_Toc312677497"/>
      <w:bookmarkStart w:id="276" w:name="_Toc300934984"/>
      <w:bookmarkStart w:id="277" w:name="_Toc297216194"/>
      <w:bookmarkStart w:id="278" w:name="_Toc304295561"/>
      <w:bookmarkStart w:id="279" w:name="_Toc303539141"/>
      <w:bookmarkStart w:id="280" w:name="_Toc312678023"/>
      <w:bookmarkStart w:id="281" w:name="_Toc318581174"/>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试验设备</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施工现场需要配置的试验场所：</w:t>
      </w:r>
      <w:bookmarkEnd w:id="274"/>
      <w:bookmarkEnd w:id="275"/>
      <w:bookmarkEnd w:id="276"/>
      <w:bookmarkEnd w:id="277"/>
      <w:bookmarkEnd w:id="278"/>
      <w:bookmarkEnd w:id="279"/>
      <w:bookmarkEnd w:id="280"/>
      <w:bookmarkStart w:id="282" w:name="_Toc312677498"/>
      <w:bookmarkStart w:id="283" w:name="_Toc297123536"/>
      <w:bookmarkStart w:id="284" w:name="_Toc297216195"/>
      <w:bookmarkStart w:id="285" w:name="_Toc300934985"/>
      <w:bookmarkStart w:id="286" w:name="_Toc303539142"/>
      <w:bookmarkStart w:id="287" w:name="_Toc312678024"/>
      <w:bookmarkStart w:id="288" w:name="_Toc304295562"/>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施工现场需要配备的试验设备：</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施工现场需要具备的其他试验条件：</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9.4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现场工艺试验</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现场工艺试验的有关约定：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281"/>
    <w:bookmarkEnd w:id="282"/>
    <w:bookmarkEnd w:id="283"/>
    <w:bookmarkEnd w:id="284"/>
    <w:bookmarkEnd w:id="285"/>
    <w:bookmarkEnd w:id="286"/>
    <w:bookmarkEnd w:id="287"/>
    <w:bookmarkEnd w:id="288"/>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289" w:name="_Toc351203642"/>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End w:id="255"/>
      <w:bookmarkEnd w:id="256"/>
      <w:bookmarkEnd w:id="257"/>
      <w:bookmarkEnd w:id="258"/>
      <w:bookmarkEnd w:id="259"/>
      <w:bookmarkEnd w:id="260"/>
      <w:bookmarkEnd w:id="261"/>
      <w:bookmarkEnd w:id="262"/>
      <w:bookmarkEnd w:id="263"/>
      <w:bookmarkEnd w:id="264"/>
      <w:bookmarkEnd w:id="265"/>
      <w:bookmarkEnd w:id="266"/>
      <w:bookmarkStart w:id="290" w:name="_Toc292559398"/>
      <w:bookmarkStart w:id="291" w:name="_Toc292559903"/>
      <w:bookmarkStart w:id="292" w:name="_Toc296346694"/>
      <w:bookmarkStart w:id="293" w:name="_Toc296347192"/>
      <w:bookmarkStart w:id="294" w:name="_Toc296503193"/>
      <w:bookmarkStart w:id="295" w:name="_Toc296891021"/>
      <w:bookmarkStart w:id="296" w:name="_Toc296891233"/>
      <w:bookmarkStart w:id="297" w:name="_Toc296944532"/>
      <w:bookmarkStart w:id="298" w:name="_Toc297048379"/>
      <w:bookmarkStart w:id="299" w:name="_Toc297120493"/>
      <w:bookmarkStart w:id="300" w:name="_Toc297123540"/>
      <w:bookmarkStart w:id="301" w:name="_Toc297216199"/>
      <w:bookmarkStart w:id="302" w:name="_Toc300934989"/>
      <w:bookmarkStart w:id="303" w:name="_Toc303539146"/>
      <w:bookmarkStart w:id="304" w:name="_Toc304295566"/>
      <w:bookmarkStart w:id="305" w:name="_Toc312677499"/>
      <w:bookmarkStart w:id="306" w:name="_Toc312678025"/>
      <w:bookmarkStart w:id="307" w:name="_Toc267251439"/>
      <w:bookmarkStart w:id="308" w:name="_Toc267251437"/>
      <w:bookmarkStart w:id="309" w:name="_Toc267251435"/>
      <w:bookmarkStart w:id="310" w:name="_Toc267251433"/>
      <w:bookmarkStart w:id="311" w:name="_Toc267251441"/>
      <w:bookmarkStart w:id="312" w:name="_Toc267251440"/>
      <w:bookmarkStart w:id="313" w:name="_Toc267251442"/>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0.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变更</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bookmarkEnd w:id="305"/>
    <w:bookmarkEnd w:id="30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Start w:id="314" w:name="_Toc292559904"/>
      <w:bookmarkStart w:id="315" w:name="_Toc297120494"/>
      <w:bookmarkStart w:id="316" w:name="_Toc300934990"/>
      <w:bookmarkStart w:id="317" w:name="_Toc296503194"/>
      <w:bookmarkStart w:id="318" w:name="_Toc296891022"/>
      <w:bookmarkStart w:id="319" w:name="_Toc297123541"/>
      <w:bookmarkStart w:id="320" w:name="_Toc296891234"/>
      <w:bookmarkStart w:id="321" w:name="_Toc312678026"/>
      <w:bookmarkStart w:id="322" w:name="_Toc297048380"/>
      <w:bookmarkStart w:id="323" w:name="_Toc292559399"/>
      <w:bookmarkStart w:id="324" w:name="_Toc297216200"/>
      <w:bookmarkStart w:id="325" w:name="_Toc296346695"/>
      <w:bookmarkStart w:id="326" w:name="_Toc303539147"/>
      <w:bookmarkStart w:id="327" w:name="_Toc304295567"/>
      <w:bookmarkStart w:id="328" w:name="_Toc312677500"/>
      <w:bookmarkStart w:id="329" w:name="_Toc296347193"/>
      <w:bookmarkStart w:id="330" w:name="_Toc296944533"/>
      <w:r>
        <w:rPr>
          <w:rFonts w:ascii="宋体" w:hAnsi="宋体" w:cs="Arial" w:eastAsiaTheme="minorEastAsia"/>
          <w:color w:val="000000" w:themeColor="text1"/>
          <w:kern w:val="2"/>
          <w:sz w:val="21"/>
          <w:szCs w:val="21"/>
          <w:lang w:val="en-US" w:eastAsia="zh-CN" w:bidi="ar-SA"/>
          <w14:textFill>
            <w14:solidFill>
              <w14:schemeClr w14:val="tx1"/>
            </w14:solidFill>
          </w14:textFill>
        </w:rPr>
        <w:t>0.1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变更的范围</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关于变更的范围的约定：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除特殊原因外不得变更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10.4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变更估价</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10.4.1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变更估价原则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关于变更估价的约定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Start w:id="331" w:name="_Toc297216203"/>
      <w:bookmarkStart w:id="332" w:name="_Toc292559907"/>
      <w:bookmarkStart w:id="333" w:name="_Toc297120497"/>
      <w:bookmarkStart w:id="334" w:name="_Toc296346698"/>
      <w:bookmarkStart w:id="335" w:name="_Toc296347196"/>
      <w:bookmarkStart w:id="336" w:name="_Toc296891237"/>
      <w:bookmarkStart w:id="337" w:name="_Toc300934993"/>
      <w:bookmarkStart w:id="338" w:name="_Toc296944536"/>
      <w:bookmarkStart w:id="339" w:name="_Toc297048383"/>
      <w:bookmarkStart w:id="340" w:name="_Toc297123544"/>
      <w:bookmarkStart w:id="341" w:name="_Toc303539150"/>
      <w:bookmarkStart w:id="342" w:name="_Toc296503197"/>
      <w:bookmarkStart w:id="343" w:name="_Toc296891025"/>
      <w:bookmarkStart w:id="344" w:name="_Toc292559402"/>
      <w:bookmarkStart w:id="345" w:name="_Toc312677503"/>
      <w:bookmarkStart w:id="346" w:name="_Toc312678029"/>
      <w:bookmarkStart w:id="347" w:name="_Toc304295570"/>
      <w:r>
        <w:rPr>
          <w:rFonts w:ascii="宋体" w:hAnsi="宋体" w:cs="Arial" w:eastAsiaTheme="minorEastAsia"/>
          <w:color w:val="000000" w:themeColor="text1"/>
          <w:kern w:val="2"/>
          <w:sz w:val="21"/>
          <w:szCs w:val="21"/>
          <w:lang w:val="en-US" w:eastAsia="zh-CN" w:bidi="ar-SA"/>
          <w14:textFill>
            <w14:solidFill>
              <w14:schemeClr w14:val="tx1"/>
            </w14:solidFill>
          </w14:textFill>
        </w:rPr>
        <w:t>0.5</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8" w:name="_Toc297216204"/>
      <w:bookmarkStart w:id="349" w:name="_Toc297123545"/>
      <w:bookmarkStart w:id="350" w:name="_Toc292559913"/>
      <w:bookmarkStart w:id="351" w:name="_Toc303539151"/>
      <w:bookmarkStart w:id="352" w:name="_Toc300934994"/>
      <w:bookmarkStart w:id="353" w:name="_Toc297120503"/>
      <w:bookmarkStart w:id="354" w:name="_Toc296347202"/>
      <w:bookmarkStart w:id="355" w:name="_Toc292559408"/>
      <w:bookmarkStart w:id="356" w:name="_Toc297048389"/>
      <w:bookmarkStart w:id="357" w:name="_Toc296891243"/>
      <w:bookmarkStart w:id="358" w:name="_Toc296503203"/>
      <w:bookmarkStart w:id="359" w:name="_Toc296891031"/>
      <w:bookmarkStart w:id="360" w:name="_Toc296346704"/>
      <w:bookmarkStart w:id="361" w:name="_Toc296944542"/>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包人的合理化建议</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监理人审查承包人合理化建议的期限：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发包人审批承包人合理化建议的期限：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w:t>
      </w:r>
      <w:bookmarkStart w:id="362" w:name="_Toc303539152"/>
      <w:bookmarkStart w:id="363" w:name="_Toc304295571"/>
      <w:bookmarkStart w:id="364" w:name="_Toc312677504"/>
      <w:bookmarkStart w:id="365" w:name="_Toc312678030"/>
      <w:bookmarkStart w:id="366" w:name="_Toc318581175"/>
      <w:bookmarkStart w:id="367" w:name="_Toc292559409"/>
      <w:bookmarkStart w:id="368" w:name="_Toc292559914"/>
      <w:bookmarkStart w:id="369" w:name="_Toc296891244"/>
      <w:bookmarkStart w:id="370" w:name="_Toc296944543"/>
      <w:bookmarkStart w:id="371" w:name="_Toc297048390"/>
      <w:bookmarkStart w:id="372" w:name="_Toc297120504"/>
      <w:bookmarkStart w:id="373" w:name="_Toc296346705"/>
      <w:bookmarkStart w:id="374" w:name="_Toc296347203"/>
      <w:bookmarkStart w:id="375" w:name="_Toc296503204"/>
      <w:bookmarkStart w:id="376" w:name="_Toc296891032"/>
      <w:bookmarkStart w:id="377" w:name="_Toc297123546"/>
      <w:bookmarkStart w:id="378" w:name="_Toc297216205"/>
      <w:bookmarkStart w:id="379" w:name="_Toc300934995"/>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包人提出的合理化建议降低了合同价格或者提高了工程经济效益的奖励的方法和金额为：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Start w:id="380" w:name="_Toc300934997"/>
      <w:bookmarkStart w:id="381" w:name="_Toc312677507"/>
      <w:bookmarkStart w:id="382" w:name="_Toc296891239"/>
      <w:bookmarkStart w:id="383" w:name="_Toc296944538"/>
      <w:bookmarkStart w:id="384" w:name="_Toc312678033"/>
      <w:bookmarkStart w:id="385" w:name="_Toc292559404"/>
      <w:bookmarkStart w:id="386" w:name="_Toc297123548"/>
      <w:bookmarkStart w:id="387" w:name="_Toc296346700"/>
      <w:bookmarkStart w:id="388" w:name="_Toc296891027"/>
      <w:bookmarkStart w:id="389" w:name="_Toc303539154"/>
      <w:bookmarkStart w:id="390" w:name="_Toc304295574"/>
      <w:bookmarkStart w:id="391" w:name="_Toc296503199"/>
      <w:bookmarkStart w:id="392" w:name="_Toc297048385"/>
      <w:bookmarkStart w:id="393" w:name="_Toc292559909"/>
      <w:bookmarkStart w:id="394" w:name="_Toc297120499"/>
      <w:bookmarkStart w:id="395" w:name="_Toc297216207"/>
      <w:bookmarkStart w:id="396" w:name="_Toc296347198"/>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0.7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暂估价</w:t>
      </w: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暂</w:t>
      </w:r>
      <w:bookmarkStart w:id="397" w:name="_Toc312678034"/>
      <w:bookmarkStart w:id="398" w:name="_Toc312677508"/>
      <w:bookmarkStart w:id="399" w:name="_Toc318581176"/>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估价材料和工程设备的明细详见附件</w:t>
      </w:r>
      <w:r>
        <w:rPr>
          <w:rFonts w:ascii="宋体" w:hAnsi="宋体" w:cs="Arial" w:eastAsiaTheme="minorEastAsia"/>
          <w:color w:val="000000" w:themeColor="text1"/>
          <w:kern w:val="2"/>
          <w:sz w:val="21"/>
          <w:szCs w:val="21"/>
          <w:lang w:val="en-US" w:eastAsia="zh-CN" w:bidi="ar-SA"/>
          <w14:textFill>
            <w14:solidFill>
              <w14:schemeClr w14:val="tx1"/>
            </w14:solidFill>
          </w14:textFill>
        </w:rPr>
        <w:t>11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：《暂估价一览表》。</w:t>
      </w:r>
    </w:p>
    <w:bookmarkEnd w:id="397"/>
    <w:bookmarkEnd w:id="398"/>
    <w:bookmarkEnd w:id="39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Start w:id="400" w:name="_Toc312677509"/>
      <w:bookmarkStart w:id="401" w:name="_Toc312678035"/>
      <w:bookmarkStart w:id="402" w:name="_Toc318581177"/>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0.7.1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依法必须招标的暂估价项目</w:t>
      </w:r>
    </w:p>
    <w:bookmarkEnd w:id="400"/>
    <w:bookmarkEnd w:id="401"/>
    <w:bookmarkEnd w:id="402"/>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对于依法必须招标的暂估价项目的确认和批准采取第另定种方式确定。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10.7.2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不属于依法必须招标的暂估价项目</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对于不属于依法必须招标的暂估价项目的确认和批准采取第另定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种方式确定。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第</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种方式：承包人直接实施的暂估价项目</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承包人直接实施的暂估价项目的约定：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10.8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暂列金额</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合同当事人关于暂列金额使用的约定：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403" w:name="_Toc351203643"/>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价格调整</w:t>
      </w:r>
      <w:bookmarkEnd w:id="403"/>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404" w:name="_Toc304295577"/>
      <w:bookmarkStart w:id="405" w:name="_Toc297216209"/>
      <w:bookmarkStart w:id="406" w:name="_Toc297048387"/>
      <w:bookmarkStart w:id="407" w:name="_Toc296347200"/>
      <w:bookmarkStart w:id="408" w:name="_Toc297123550"/>
      <w:bookmarkStart w:id="409" w:name="_Toc296503201"/>
      <w:bookmarkStart w:id="410" w:name="_Toc297120501"/>
      <w:bookmarkStart w:id="411" w:name="_Toc292559406"/>
      <w:bookmarkStart w:id="412" w:name="_Toc312678039"/>
      <w:bookmarkStart w:id="413" w:name="_Toc292559911"/>
      <w:bookmarkStart w:id="414" w:name="_Toc296891029"/>
      <w:bookmarkStart w:id="415" w:name="_Toc296891241"/>
      <w:bookmarkStart w:id="416" w:name="_Toc296346702"/>
      <w:bookmarkStart w:id="417" w:name="_Toc303539157"/>
      <w:bookmarkStart w:id="418" w:name="_Toc296944540"/>
      <w:bookmarkStart w:id="419" w:name="_Toc300935000"/>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11.1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市场价格波动引起的调整</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市场价格波动是否调整合同价格的约定：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不予调整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因市场价格波动调整合同价格，采用以下第另定种方式对合同价格进行调整：</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第</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种方式：采用价格指数进行价格调整。</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关于各可调因子、定值和变值权重，以及基本价格指数及其来源的约定：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第</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种方式：采用造价信息进行价格调整。</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）关于基准价格的约定：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 xml:space="preserve">专用合同条款①承包人在已标价工程量清单或预算书中载明的材料单价低于基准价格的：专用合同条款合同履行期间材料单价涨幅以基准价格为基础超过 / </w:t>
      </w:r>
      <w:r>
        <w:rPr>
          <w:rFonts w:ascii="宋体" w:hAnsi="宋体" w:cs="Arial"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 xml:space="preserve">时，或材料单价跌幅以已标价工程量清单或预算书中载明材料单价为基础超过 / </w:t>
      </w:r>
      <w:r>
        <w:rPr>
          <w:rFonts w:ascii="宋体" w:hAnsi="宋体" w:cs="Arial"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时，其超过部分据实调整。</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 xml:space="preserve">②承包人在已标价工程量清单或预算书中载明的材料单价高于基准价格的：专用合同条款合同履行期间材料单价跌幅以基准价格为基础超过  /  </w:t>
      </w:r>
      <w:r>
        <w:rPr>
          <w:rFonts w:ascii="宋体" w:hAnsi="宋体" w:cs="Arial"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 xml:space="preserve">时，材料单价涨幅以已标价工程量清单或预算书中载明材料单价为基础超过  /  </w:t>
      </w:r>
      <w:r>
        <w:rPr>
          <w:rFonts w:ascii="宋体" w:hAnsi="宋体" w:cs="Arial"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时，其超过部分据实调整。</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 xml:space="preserve">③承包人在已标价工程量清单或预算书中载明的材料单价等于基准单价的：专用合同条款合同履行期间材料单价涨跌幅以基准单价为基础超过 ± / </w:t>
      </w:r>
      <w:r>
        <w:rPr>
          <w:rFonts w:ascii="宋体" w:hAnsi="宋体" w:cs="Arial"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时，其超过部分据实调整。</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第</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种方式：其他价格调整方式：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307"/>
    <w:bookmarkEnd w:id="308"/>
    <w:bookmarkEnd w:id="309"/>
    <w:bookmarkEnd w:id="310"/>
    <w:bookmarkEnd w:id="311"/>
    <w:bookmarkEnd w:id="312"/>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420" w:name="_Toc292559915"/>
      <w:bookmarkStart w:id="421" w:name="_Toc296346706"/>
      <w:bookmarkStart w:id="422" w:name="_Toc297120505"/>
      <w:bookmarkStart w:id="423" w:name="_Toc296347204"/>
      <w:bookmarkStart w:id="424" w:name="_Toc296503205"/>
      <w:bookmarkStart w:id="425" w:name="_Toc292559410"/>
      <w:bookmarkStart w:id="426" w:name="_Toc296891033"/>
      <w:bookmarkStart w:id="427" w:name="_Toc296891245"/>
      <w:bookmarkStart w:id="428" w:name="_Toc297048391"/>
      <w:bookmarkStart w:id="429" w:name="_Toc296944544"/>
      <w:bookmarkStart w:id="430" w:name="_Toc351203644"/>
      <w:bookmarkStart w:id="431" w:name="_Toc312678040"/>
      <w:bookmarkStart w:id="432" w:name="_Toc297123552"/>
      <w:bookmarkStart w:id="433" w:name="_Toc297216211"/>
      <w:bookmarkStart w:id="434" w:name="_Toc300935002"/>
      <w:bookmarkStart w:id="435" w:name="_Toc303539159"/>
      <w:bookmarkStart w:id="436" w:name="_Toc304295579"/>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 </w:t>
      </w:r>
      <w:bookmarkEnd w:id="420"/>
      <w:bookmarkEnd w:id="421"/>
      <w:bookmarkEnd w:id="422"/>
      <w:bookmarkEnd w:id="423"/>
      <w:bookmarkEnd w:id="424"/>
      <w:bookmarkEnd w:id="425"/>
      <w:bookmarkEnd w:id="426"/>
      <w:bookmarkEnd w:id="427"/>
      <w:bookmarkEnd w:id="428"/>
      <w:bookmarkEnd w:id="429"/>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合同价格、计量与支付</w:t>
      </w:r>
      <w:bookmarkEnd w:id="430"/>
    </w:p>
    <w:bookmarkEnd w:id="431"/>
    <w:bookmarkEnd w:id="432"/>
    <w:bookmarkEnd w:id="433"/>
    <w:bookmarkEnd w:id="434"/>
    <w:bookmarkEnd w:id="435"/>
    <w:bookmarkEnd w:id="43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437" w:name="_Toc292559916"/>
      <w:bookmarkStart w:id="438" w:name="_Toc267251461"/>
      <w:bookmarkStart w:id="439" w:name="_Toc292559411"/>
      <w:bookmarkStart w:id="440" w:name="_Toc296346707"/>
      <w:bookmarkStart w:id="441" w:name="_Toc296347205"/>
      <w:bookmarkStart w:id="442" w:name="_Toc296503206"/>
      <w:bookmarkStart w:id="443" w:name="_Toc296891034"/>
      <w:bookmarkStart w:id="444" w:name="_Toc296891246"/>
      <w:bookmarkStart w:id="445" w:name="_Toc296944545"/>
      <w:bookmarkStart w:id="446" w:name="_Toc297048392"/>
      <w:bookmarkStart w:id="447" w:name="_Toc297120506"/>
      <w:bookmarkStart w:id="448" w:name="_Toc297123553"/>
      <w:bookmarkStart w:id="449" w:name="_Toc297216212"/>
      <w:bookmarkStart w:id="450" w:name="_Toc300935003"/>
      <w:bookmarkStart w:id="451" w:name="_Toc303539160"/>
      <w:bookmarkStart w:id="452" w:name="_Toc304295580"/>
      <w:bookmarkStart w:id="453" w:name="_Toc312678041"/>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w:t>
      </w:r>
      <w:bookmarkEnd w:id="437"/>
      <w:bookmarkEnd w:id="438"/>
      <w:bookmarkEnd w:id="439"/>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同价</w:t>
      </w:r>
      <w:bookmarkEnd w:id="440"/>
      <w:bookmarkEnd w:id="441"/>
      <w:bookmarkEnd w:id="442"/>
      <w:bookmarkEnd w:id="443"/>
      <w:bookmarkEnd w:id="444"/>
      <w:bookmarkEnd w:id="445"/>
      <w:bookmarkEnd w:id="446"/>
      <w:bookmarkEnd w:id="447"/>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格形式</w:t>
      </w:r>
    </w:p>
    <w:bookmarkEnd w:id="448"/>
    <w:bookmarkEnd w:id="449"/>
    <w:bookmarkEnd w:id="450"/>
    <w:bookmarkEnd w:id="451"/>
    <w:bookmarkEnd w:id="452"/>
    <w:bookmarkEnd w:id="453"/>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、单价合同。</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综合单价包含的风险范围：人工、材料、机械费用的市场价格变化，除政策性调整及不可抗力以外的其他风险。</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风险费用的计算方法：</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投标人在投标报价时已经考虑，不再另行计取</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风险范围以外合同价格的调整方法：①由于设计变更引起新的工程项目或暂定价项目，其相应单价的确定方式：合同中有类似工程项目单价的，参照合同中类似项目的单价调整；合同中无类似工程项目单价的依据变更当期信息价及有关规定计算的价格按照中标价下浮比例（中标价与控制价相比）同比例下浮。</w:t>
      </w:r>
    </w:p>
    <w:p>
      <w:pPr>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②对于本工程的全部清单项目，无论工程量增减如何，均应执行原有的综合单价。</w:t>
      </w:r>
    </w:p>
    <w:p>
      <w:pPr>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③投标人的投标报价中综合单价缺项、漏项、报零均被视为对业主的优惠，中标后不作调整。</w:t>
      </w:r>
    </w:p>
    <w:p>
      <w:pPr>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④措施项目清单的报价，应与技术标内容相符。对缺项、漏项、报零的措施项目费用，中标后均不作调整（因设计变更的情况除外）。</w:t>
      </w:r>
    </w:p>
    <w:p>
      <w:pPr>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⑤中标后，不论实际情况如何，本次招标范围（以图纸及现场情况为准）内材料价格均不予调整，请投标人结合自身实力注意控制风险。</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⑥规费、税金属于不可竞争费用，应按安徽省现行的综合单价及其计价办法的规定执行。</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、总价合同。</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总价包含的风险范围：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风险费用的计算方法：</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风险范围以外合同价格的调整方法：</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、其他价格方式：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454" w:name="_Toc312678042"/>
      <w:bookmarkStart w:id="455" w:name="_Toc297123554"/>
      <w:bookmarkStart w:id="456" w:name="_Toc297216213"/>
      <w:bookmarkStart w:id="457" w:name="_Toc300935004"/>
      <w:bookmarkStart w:id="458" w:name="_Toc303539161"/>
      <w:bookmarkStart w:id="459" w:name="_Toc304295581"/>
      <w:bookmarkStart w:id="460" w:name="_Toc292559412"/>
      <w:bookmarkStart w:id="461" w:name="_Toc292559917"/>
      <w:bookmarkStart w:id="462" w:name="_Toc296346708"/>
      <w:bookmarkStart w:id="463" w:name="_Toc296347206"/>
      <w:bookmarkStart w:id="464" w:name="_Toc296503207"/>
      <w:bookmarkStart w:id="465" w:name="_Toc296891035"/>
      <w:bookmarkStart w:id="466" w:name="_Toc296891247"/>
      <w:bookmarkStart w:id="467" w:name="_Toc296944546"/>
      <w:bookmarkStart w:id="468" w:name="_Toc297048393"/>
      <w:bookmarkStart w:id="469" w:name="_Toc297120507"/>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预付款</w:t>
      </w:r>
    </w:p>
    <w:bookmarkEnd w:id="454"/>
    <w:bookmarkEnd w:id="455"/>
    <w:bookmarkEnd w:id="456"/>
    <w:bookmarkEnd w:id="457"/>
    <w:bookmarkEnd w:id="458"/>
    <w:bookmarkEnd w:id="45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12.2.1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预付款的支付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预付款支付比例或金额：</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预付款支付期限：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预付款扣回的方式：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12.2.2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预付款担保</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承包人提交预付款担保的期限：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预付款担保的形式为：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460"/>
    <w:bookmarkEnd w:id="461"/>
    <w:bookmarkEnd w:id="462"/>
    <w:bookmarkEnd w:id="463"/>
    <w:bookmarkEnd w:id="464"/>
    <w:bookmarkEnd w:id="465"/>
    <w:bookmarkEnd w:id="466"/>
    <w:bookmarkEnd w:id="467"/>
    <w:bookmarkEnd w:id="468"/>
    <w:bookmarkEnd w:id="46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计量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计量原则</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工程量计算规则：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12.3.2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计量周期</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关于计量周期的约定：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12.3.3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单价合同的计量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关于单价合同计量的约定：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12.3.4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总价合同的计量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关于总价合同计量的约定：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12.3.5</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总价合同采用支付分解表计量支付的，是否适用第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12.3.4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项〔总价合同的计量〕约定进行计量：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12.3.6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其他价格形式合同的计量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其他价格形式的计量方式和程序：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工程进度款支付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470" w:name="_Toc296346712"/>
      <w:bookmarkStart w:id="471" w:name="_Toc296347210"/>
      <w:bookmarkStart w:id="472" w:name="_Toc296503211"/>
      <w:bookmarkStart w:id="473" w:name="_Toc292559416"/>
      <w:bookmarkStart w:id="474" w:name="_Toc296891039"/>
      <w:bookmarkStart w:id="475" w:name="_Toc296891251"/>
      <w:bookmarkStart w:id="476" w:name="_Toc296944550"/>
      <w:bookmarkStart w:id="477" w:name="_Toc297048397"/>
      <w:bookmarkStart w:id="478" w:name="_Toc297120511"/>
      <w:bookmarkStart w:id="479" w:name="_Toc297123556"/>
      <w:bookmarkStart w:id="480" w:name="_Toc297216215"/>
      <w:bookmarkStart w:id="481" w:name="_Toc300935006"/>
      <w:bookmarkStart w:id="482" w:name="_Toc303539163"/>
      <w:bookmarkStart w:id="483" w:name="_Toc292559921"/>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12.4.1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付款周期</w:t>
      </w:r>
    </w:p>
    <w:p>
      <w:pPr>
        <w:pStyle w:val="145"/>
        <w:spacing w:line="320" w:lineRule="exact"/>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关于付款周期的约定：付款方式：工程结算审计结束后，中标单位将审计总价的 3%汇入黄山学院账户，作为工程质量保证金（两年维保期满按规定验收通过后无息退还）后，付清到结算审计总价的 100 %。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12.4.2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进度付款申请单的编制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关于进度付款申请单编制的约定：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2.4.3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进度付款申请单的提交</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）单价合同进度付款申请单提交的约定：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）总价合同进度付款申请单提交的约定：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）其他价格形式合同进度付款申请单提交的约定：另定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12.4.4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进度款审核和支付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）监理人审查并报送发包人的期限：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发包人完成审批并签发进度款支付证书的期限：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）发包人支付进度款的期限：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发包人逾期支付进度款的违约金的计算方式：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12.4.6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支付分解表的编制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、总价合同支付分解表的编制与审批：</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、单价合同的总价项目支付分解表的编制与审批：</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313"/>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484" w:name="_Toc351203645"/>
      <w:bookmarkStart w:id="485" w:name="_Toc292559424"/>
      <w:bookmarkStart w:id="486" w:name="_Toc292559929"/>
      <w:bookmarkStart w:id="487" w:name="_Toc296346720"/>
      <w:bookmarkStart w:id="488" w:name="_Toc296347218"/>
      <w:bookmarkStart w:id="489" w:name="_Toc296503219"/>
      <w:bookmarkStart w:id="490" w:name="_Toc296891047"/>
      <w:bookmarkStart w:id="491" w:name="_Toc296891259"/>
      <w:bookmarkStart w:id="492" w:name="_Toc296944558"/>
      <w:bookmarkStart w:id="493" w:name="_Toc297048405"/>
      <w:bookmarkStart w:id="494" w:name="_Toc297120519"/>
      <w:bookmarkStart w:id="495" w:name="_Toc297123564"/>
      <w:bookmarkStart w:id="496" w:name="_Toc297216223"/>
      <w:bookmarkStart w:id="497" w:name="_Toc300935015"/>
      <w:bookmarkStart w:id="498" w:name="_Toc303539172"/>
      <w:bookmarkStart w:id="499" w:name="_Toc304295593"/>
      <w:bookmarkStart w:id="500" w:name="_Toc312678053"/>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验收和工程试车</w:t>
      </w:r>
      <w:bookmarkEnd w:id="484"/>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分部分项工程验收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13.1.2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监理人不能按时进行验收时，应提前另定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小时提交书面延期要求。</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关于延期最长不得超过：</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另定小时。</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01" w:name="_Toc292559428"/>
      <w:bookmarkStart w:id="502" w:name="_Toc292559933"/>
      <w:bookmarkStart w:id="503" w:name="_Toc296346724"/>
      <w:bookmarkStart w:id="504" w:name="_Toc296347222"/>
      <w:bookmarkStart w:id="505" w:name="_Toc296503223"/>
      <w:bookmarkStart w:id="506" w:name="_Toc296891051"/>
      <w:bookmarkStart w:id="507" w:name="_Toc296891263"/>
      <w:bookmarkStart w:id="508" w:name="_Toc296944562"/>
      <w:bookmarkStart w:id="509" w:name="_Toc297048409"/>
      <w:bookmarkStart w:id="510" w:name="_Toc297120523"/>
      <w:bookmarkStart w:id="511" w:name="_Toc297123565"/>
      <w:bookmarkStart w:id="512" w:name="_Toc297216224"/>
      <w:bookmarkStart w:id="513" w:name="_Toc300935016"/>
      <w:bookmarkStart w:id="514" w:name="_Toc303539173"/>
      <w:bookmarkStart w:id="515" w:name="_Toc304295596"/>
      <w:bookmarkStart w:id="516" w:name="_Toc312678056"/>
      <w:bookmarkStart w:id="517" w:name="_Toc267251476"/>
      <w:bookmarkStart w:id="518" w:name="_Toc267251475"/>
      <w:bookmarkStart w:id="519" w:name="_Toc267251474"/>
      <w:bookmarkStart w:id="520" w:name="_Toc267251473"/>
      <w:bookmarkStart w:id="521" w:name="_Toc267251472"/>
      <w:bookmarkStart w:id="522" w:name="_Toc267251471"/>
      <w:bookmarkStart w:id="523" w:name="_Toc267251470"/>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竣工验收</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24" w:name="_Toc280868704"/>
      <w:bookmarkStart w:id="525" w:name="_Toc280868705"/>
      <w:bookmarkStart w:id="526" w:name="_Toc280868706"/>
      <w:bookmarkStart w:id="527" w:name="_Toc280868707"/>
      <w:bookmarkStart w:id="528" w:name="_Toc280868708"/>
      <w:bookmarkStart w:id="529" w:name="_Toc280868709"/>
      <w:r>
        <w:rPr>
          <w:rFonts w:ascii="宋体" w:hAnsi="宋体" w:cs="Arial" w:eastAsiaTheme="minorEastAsia"/>
          <w:color w:val="000000" w:themeColor="text1"/>
          <w:kern w:val="2"/>
          <w:sz w:val="21"/>
          <w:szCs w:val="21"/>
          <w:lang w:val="en-US" w:eastAsia="zh-CN" w:bidi="ar-SA"/>
          <w14:textFill>
            <w14:solidFill>
              <w14:schemeClr w14:val="tx1"/>
            </w14:solidFill>
          </w14:textFill>
        </w:rPr>
        <w:t>13.2.2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竣工验收程序</w:t>
      </w:r>
    </w:p>
    <w:bookmarkEnd w:id="524"/>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关于竣工验收程序的约定：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发包人不按照本项约定组织竣工验收、颁发工程接收证书的违约金的计算方法：</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525"/>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13.2.5</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移交、接收全部与部分工程</w:t>
      </w:r>
    </w:p>
    <w:bookmarkEnd w:id="526"/>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承包人向发包人移交工程的期限：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发包人未按本合同约定接收全部或部分工程的，违约金的计算方法为：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527"/>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承包人未按时移交工程的，违约金的计算方法为：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工程试车</w:t>
      </w:r>
    </w:p>
    <w:bookmarkEnd w:id="528"/>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试车程序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工程试车内容：</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）单机无负荷试车费用由</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承担；</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）无负荷联动试车费用由</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承担。</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13.3.3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投料试车</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关于投料试车相关事项的约定：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竣工退场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13.6.1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竣工退场</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承包人完成竣工退场的期限：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30" w:name="_Toc351203646"/>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竣工结算</w:t>
      </w:r>
      <w:bookmarkEnd w:id="530"/>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竣工付款申请</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承包人提交竣工付款申请单的期限：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竣工付款申请单应包括的内容：</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竣工结算审核</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发包人审批竣工付款申请单的期限：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发包人完成竣工付款的期限：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关于竣工付款证书异议部分复核的方式和程序：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最终结清</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14.4.1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最终结清申请单</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承包人提交最终结清申请单的份数：</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承包人提交最终结算申请单的期限：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14.4.2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最终结清证书和支付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）发包人完成最终结清申请单的审批并颁发最终结清证书的期限：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）发包人完成支付的期限：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517"/>
    <w:bookmarkEnd w:id="518"/>
    <w:bookmarkEnd w:id="519"/>
    <w:bookmarkEnd w:id="520"/>
    <w:bookmarkEnd w:id="521"/>
    <w:bookmarkEnd w:id="522"/>
    <w:bookmarkEnd w:id="523"/>
    <w:bookmarkEnd w:id="52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31" w:name="_Toc351203647"/>
      <w:bookmarkStart w:id="532" w:name="_Toc267251483"/>
      <w:bookmarkStart w:id="533" w:name="_Toc267251482"/>
      <w:bookmarkStart w:id="534" w:name="_Toc267251484"/>
      <w:bookmarkStart w:id="535" w:name="_Toc267251485"/>
      <w:bookmarkStart w:id="536" w:name="_Toc267251490"/>
      <w:bookmarkStart w:id="537" w:name="_Toc267251489"/>
      <w:bookmarkStart w:id="538" w:name="_Toc267251488"/>
      <w:bookmarkStart w:id="539" w:name="_Toc267251486"/>
      <w:bookmarkStart w:id="540" w:name="_Toc267251492"/>
      <w:bookmarkStart w:id="541" w:name="_Toc267251497"/>
      <w:bookmarkStart w:id="542" w:name="_Toc267251493"/>
      <w:bookmarkStart w:id="543" w:name="_Toc267251494"/>
      <w:bookmarkStart w:id="544" w:name="_Toc267251495"/>
      <w:bookmarkStart w:id="545" w:name="_Toc267251496"/>
      <w:bookmarkStart w:id="546" w:name="_Toc267251498"/>
      <w:bookmarkStart w:id="547" w:name="_Toc267251499"/>
      <w:bookmarkStart w:id="548" w:name="_Toc267251503"/>
      <w:bookmarkStart w:id="549" w:name="_Toc267251502"/>
      <w:bookmarkStart w:id="550" w:name="_Toc267251501"/>
      <w:bookmarkStart w:id="551" w:name="_Toc267251491"/>
      <w:bookmarkStart w:id="552" w:name="_Toc267251506"/>
      <w:bookmarkStart w:id="553" w:name="_Toc267251504"/>
      <w:bookmarkStart w:id="554" w:name="_Toc267251507"/>
      <w:bookmarkStart w:id="555" w:name="_Toc267251508"/>
      <w:bookmarkStart w:id="556" w:name="_Toc267251509"/>
      <w:bookmarkStart w:id="557" w:name="_Toc267251510"/>
      <w:bookmarkStart w:id="558" w:name="_Toc267251511"/>
      <w:bookmarkStart w:id="559" w:name="_Toc267251514"/>
      <w:bookmarkStart w:id="560" w:name="_Toc267251513"/>
      <w:bookmarkStart w:id="561" w:name="_Toc267251515"/>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15.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缺陷责任期与保修</w:t>
      </w:r>
      <w:bookmarkEnd w:id="531"/>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15.2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缺陷责任期</w:t>
      </w:r>
      <w:bookmarkEnd w:id="532"/>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缺陷责任期的具体期限：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12个月</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15.3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质量保证金</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关于是否扣留质量保证金的约定：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15.3.1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承包人提供质量保证金的方式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质量保证金采用以下第</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种方式：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）质量保证金保函，保证金额为：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的工程款；</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15.3.2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质量保证金的扣留</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质量保证金的扣留采取以下第（</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）种方式：</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）在支付工程进度款时逐次扣留，在此情形下，质量保证金的计算基数不包括预付款的支付、扣回以及价格调整的金额；</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）工程竣工结算时一次性扣留质量保证金；</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）其他扣留方式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关于质量保证金的补充约定：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533"/>
    <w:bookmarkEnd w:id="534"/>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15.4</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保修</w:t>
      </w:r>
    </w:p>
    <w:bookmarkEnd w:id="535"/>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15.4.1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保修责任</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工程保修期为：</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15.4.3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修复通知</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承包人收到保修通知并到达工程现场的合理时间：</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536"/>
    <w:bookmarkEnd w:id="537"/>
    <w:bookmarkEnd w:id="538"/>
    <w:bookmarkEnd w:id="539"/>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62" w:name="_Toc351203648"/>
      <w:bookmarkStart w:id="563" w:name="_Toc280868717"/>
      <w:bookmarkStart w:id="564" w:name="_Toc280868718"/>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违约</w:t>
      </w:r>
      <w:bookmarkEnd w:id="562"/>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发包人违约</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16.1.1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发包人违约的情形</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发包人违约的其他情形：</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ind w:left="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16.1.2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发包人违约的责任</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发包人违约责任的承担方式和计算方法：</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）因发包人原因未能在计划开工日期前</w:t>
      </w:r>
      <w:r>
        <w:rPr>
          <w:rFonts w:ascii="宋体" w:hAnsi="宋体" w:cs="Arial" w:eastAsiaTheme="minorEastAsia"/>
          <w:color w:val="000000" w:themeColor="text1"/>
          <w:kern w:val="2"/>
          <w:sz w:val="21"/>
          <w:szCs w:val="21"/>
          <w:lang w:val="en-US" w:eastAsia="zh-CN" w:bidi="ar-SA"/>
          <w14:textFill>
            <w14:solidFill>
              <w14:schemeClr w14:val="tx1"/>
            </w14:solidFill>
          </w14:textFill>
        </w:rPr>
        <w:t>7</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天内下达开工通知的违约责任：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napToGrid w:val="0"/>
        <w:spacing w:line="320" w:lineRule="exact"/>
        <w:ind w:left="210" w:leftChars="100" w:right="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）因发包人原因未能按合同约定支付合同价款的违约责任：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3</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）发包人违反第</w:t>
      </w:r>
      <w:r>
        <w:rPr>
          <w:rFonts w:ascii="宋体" w:hAnsi="宋体" w:cs="Arial" w:eastAsiaTheme="minorEastAsia"/>
          <w:color w:val="000000" w:themeColor="text1"/>
          <w:kern w:val="2"/>
          <w:sz w:val="21"/>
          <w:szCs w:val="21"/>
          <w:lang w:val="en-US" w:eastAsia="zh-CN" w:bidi="ar-SA"/>
          <w14:textFill>
            <w14:solidFill>
              <w14:schemeClr w14:val="tx1"/>
            </w14:solidFill>
          </w14:textFill>
        </w:rPr>
        <w:t>10.1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款〔变更的范围〕第（</w:t>
      </w:r>
      <w:r>
        <w:rPr>
          <w:rFonts w:ascii="宋体" w:hAnsi="宋体" w:cs="Arial" w:eastAsiaTheme="minorEastAsia"/>
          <w:color w:val="000000" w:themeColor="text1"/>
          <w:kern w:val="2"/>
          <w:sz w:val="21"/>
          <w:szCs w:val="21"/>
          <w:lang w:val="en-US" w:eastAsia="zh-CN" w:bidi="ar-SA"/>
          <w14:textFill>
            <w14:solidFill>
              <w14:schemeClr w14:val="tx1"/>
            </w14:solidFill>
          </w14:textFill>
        </w:rPr>
        <w:t>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）项约定，自行实施被取消的工作或转由他人实施的违约责任：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4</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）发包人提供的材料、工程设备的规格、数量或质量不符合合同约定，或因发包人原因导致交货日期延误或交货地点变更等情况的违约责任：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5</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）因发包人违反合同约定造成暂停施工的违约责任：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6</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）发包人无正当理由没有在约定期限内发出复工指示，导致承包人无法复工的违约责任：</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7</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16.1.3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因发包人违约解除合同</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承包人按</w:t>
      </w:r>
      <w:r>
        <w:rPr>
          <w:rFonts w:ascii="宋体" w:hAnsi="宋体" w:cs="Arial" w:eastAsiaTheme="minorEastAsia"/>
          <w:color w:val="000000" w:themeColor="text1"/>
          <w:kern w:val="2"/>
          <w:sz w:val="21"/>
          <w:szCs w:val="21"/>
          <w:lang w:val="en-US" w:eastAsia="zh-CN" w:bidi="ar-SA"/>
          <w14:textFill>
            <w14:solidFill>
              <w14:schemeClr w14:val="tx1"/>
            </w14:solidFill>
          </w14:textFill>
        </w:rPr>
        <w:t>16.1.1</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项〔发包人违约的情形〕约定暂停施工满另定天后发包人仍不纠正其违约行为并致使合同目的不能实现的，承包人有权解除合同。</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承包人违约</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16.2.1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承包人违约的情形</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承包人违约的其他情形：每延期竣工一天，承包人支付发包人人民币贰仟元的违约金；违约金最高限额为合同价款的另定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；延期竣工另定日以上的，发包人有权解除合同，并追究连带损失。</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16.2.2</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承包人违约的责任</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承包人违约责任的承担方式和计算方法：另定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16.2.3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因承包人违约解除合同</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关于承包人违约解除合同的特别约定：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napToGrid w:val="0"/>
        <w:spacing w:before="0" w:after="0" w:line="320" w:lineRule="exact"/>
        <w:ind w:left="315" w:leftChars="150" w:right="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发包人继续使用承包人在施工现场的材料、设备、临时工程、承包人文件和由承包人或以其名义编制的其他文件的费用承担方式：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65" w:name="_Toc351203649"/>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不可抗力</w:t>
      </w:r>
      <w:bookmarkEnd w:id="565"/>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bookmarkEnd w:id="563"/>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17.1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不可抗力的确认</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除通用合同条款约定的不可抗力事件之外，视为不可抗力的其他情形：</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17.4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因不可抗力解除合同</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合同解除后，发包人应在商定或确定发包人应支付款项后另定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天内完成款项的支付。</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66" w:name="_Toc351203650"/>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18.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保险</w:t>
      </w:r>
      <w:bookmarkEnd w:id="566"/>
    </w:p>
    <w:bookmarkEnd w:id="564"/>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18.1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工程保险</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关于工程保险的特别约定：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18.3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其他保险</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关于其他保险的约定：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承包人是否应为其施工设备等办理财产保险：</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18.7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通知义务</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关于变更保险合同时的通知义务的约定：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bookmarkEnd w:id="540"/>
    <w:bookmarkEnd w:id="541"/>
    <w:bookmarkEnd w:id="542"/>
    <w:bookmarkEnd w:id="543"/>
    <w:bookmarkEnd w:id="544"/>
    <w:bookmarkEnd w:id="545"/>
    <w:bookmarkEnd w:id="546"/>
    <w:bookmarkEnd w:id="547"/>
    <w:bookmarkEnd w:id="548"/>
    <w:bookmarkEnd w:id="549"/>
    <w:bookmarkEnd w:id="550"/>
    <w:bookmarkEnd w:id="551"/>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bookmarkStart w:id="567" w:name="_Toc351203651"/>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20.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争议解决</w:t>
      </w:r>
      <w:bookmarkEnd w:id="567"/>
    </w:p>
    <w:bookmarkEnd w:id="552"/>
    <w:bookmarkEnd w:id="553"/>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20.3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争</w:t>
      </w:r>
      <w:bookmarkEnd w:id="554"/>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议评审</w:t>
      </w:r>
    </w:p>
    <w:p>
      <w:pPr>
        <w:pStyle w:val="145"/>
        <w:spacing w:line="320" w:lineRule="exact"/>
        <w:ind w:left="0" w:firstLine="315" w:firstLineChars="150"/>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合同当事人是否同意将工程争议提交争议评审小组决定：另定。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20.3.1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争议评审小组的确定</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争议评审小组成员的确定：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选定争议评审员的期限：</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争议评审小组成员的报酬承担方式：</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其他事项的约定：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另定</w:t>
      </w: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ascii="宋体" w:hAnsi="宋体" w:cs="Arial" w:eastAsiaTheme="minorEastAsia"/>
          <w:color w:val="000000" w:themeColor="text1"/>
          <w:kern w:val="2"/>
          <w:sz w:val="21"/>
          <w:szCs w:val="21"/>
          <w:lang w:val="en-US" w:eastAsia="zh-CN" w:bidi="ar-SA"/>
          <w14:textFill>
            <w14:solidFill>
              <w14:schemeClr w14:val="tx1"/>
            </w14:solidFill>
          </w14:textFill>
        </w:rPr>
        <w:t xml:space="preserve">20.3.2 </w:t>
      </w: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争议评审小组的决定</w:t>
      </w:r>
    </w:p>
    <w:p>
      <w:pPr>
        <w:pStyle w:val="145"/>
        <w:spacing w:line="320" w:lineRule="exact"/>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合同当事人关于本项的约定：   另定           。</w:t>
      </w:r>
    </w:p>
    <w:p>
      <w:pPr>
        <w:pStyle w:val="145"/>
        <w:spacing w:line="320" w:lineRule="exact"/>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20.4仲裁或诉讼</w:t>
      </w:r>
      <w:bookmarkEnd w:id="555"/>
    </w:p>
    <w:p>
      <w:pPr>
        <w:pStyle w:val="145"/>
        <w:spacing w:line="320" w:lineRule="exact"/>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因合同及合同有关事项发生的争议，按下列第（2） 种方式解决：</w:t>
      </w:r>
    </w:p>
    <w:p>
      <w:pPr>
        <w:pStyle w:val="145"/>
        <w:spacing w:line="320" w:lineRule="exact"/>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（1）向  黄山市   仲裁委员会申请仲裁；</w:t>
      </w:r>
    </w:p>
    <w:p>
      <w:pPr>
        <w:pStyle w:val="145"/>
        <w:spacing w:line="320" w:lineRule="exact"/>
        <w:rPr>
          <w:rFonts w:ascii="宋体" w:hAnsi="宋体" w:cs="Arial"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Arial" w:eastAsiaTheme="minorEastAsia"/>
          <w:color w:val="000000" w:themeColor="text1"/>
          <w:kern w:val="2"/>
          <w:sz w:val="21"/>
          <w:szCs w:val="21"/>
          <w:lang w:val="en-US" w:eastAsia="zh-CN" w:bidi="ar-SA"/>
          <w14:textFill>
            <w14:solidFill>
              <w14:schemeClr w14:val="tx1"/>
            </w14:solidFill>
          </w14:textFill>
        </w:rPr>
        <w:t>（2）向   黄山市   人民法院起诉。</w:t>
      </w:r>
      <w:bookmarkEnd w:id="556"/>
      <w:bookmarkEnd w:id="557"/>
      <w:bookmarkEnd w:id="558"/>
      <w:bookmarkEnd w:id="559"/>
      <w:bookmarkEnd w:id="560"/>
      <w:bookmarkEnd w:id="561"/>
    </w:p>
    <w:permEnd w:id="34"/>
    <w:p>
      <w:pPr>
        <w:pStyle w:val="116"/>
        <w:rPr>
          <w:color w:val="000000" w:themeColor="text1"/>
          <w:lang w:bidi="he-IL"/>
          <w14:textFill>
            <w14:solidFill>
              <w14:schemeClr w14:val="tx1"/>
            </w14:solidFill>
          </w14:textFill>
        </w:rPr>
      </w:pPr>
      <w:r>
        <w:rPr>
          <w:color w:val="000000" w:themeColor="text1"/>
          <w14:textFill>
            <w14:solidFill>
              <w14:schemeClr w14:val="tx1"/>
            </w14:solidFill>
          </w14:textFill>
        </w:rPr>
        <w:br w:type="page"/>
      </w:r>
      <w:bookmarkEnd w:id="35"/>
      <w:bookmarkStart w:id="568" w:name="_Toc482821795"/>
      <w:bookmarkStart w:id="569" w:name="_Toc488157403"/>
      <w:bookmarkStart w:id="570" w:name="_Toc518654919"/>
      <w:r>
        <w:rPr>
          <w:rFonts w:hint="eastAsia"/>
          <w:color w:val="000000" w:themeColor="text1"/>
          <w:lang w:bidi="he-IL"/>
          <w14:textFill>
            <w14:solidFill>
              <w14:schemeClr w14:val="tx1"/>
            </w14:solidFill>
          </w14:textFill>
        </w:rPr>
        <w:t>第七章 谈判响应</w:t>
      </w:r>
      <w:bookmarkEnd w:id="568"/>
      <w:bookmarkEnd w:id="569"/>
      <w:r>
        <w:rPr>
          <w:rFonts w:hint="eastAsia"/>
          <w:color w:val="000000" w:themeColor="text1"/>
          <w:lang w:bidi="he-IL"/>
          <w14:textFill>
            <w14:solidFill>
              <w14:schemeClr w14:val="tx1"/>
            </w14:solidFill>
          </w14:textFill>
        </w:rPr>
        <w:t>文件</w:t>
      </w:r>
      <w:bookmarkEnd w:id="570"/>
    </w:p>
    <w:p>
      <w:pPr>
        <w:pStyle w:val="117"/>
        <w:rPr>
          <w:color w:val="000000" w:themeColor="text1"/>
          <w14:textFill>
            <w14:solidFill>
              <w14:schemeClr w14:val="tx1"/>
            </w14:solidFill>
          </w14:textFill>
        </w:rPr>
      </w:pPr>
      <w:bookmarkStart w:id="571" w:name="_Toc518654920"/>
      <w:r>
        <w:rPr>
          <w:rFonts w:hint="eastAsia"/>
          <w:color w:val="000000" w:themeColor="text1"/>
          <w14:textFill>
            <w14:solidFill>
              <w14:schemeClr w14:val="tx1"/>
            </w14:solidFill>
          </w14:textFill>
        </w:rPr>
        <w:t>商务技术标格式</w:t>
      </w:r>
      <w:bookmarkEnd w:id="571"/>
    </w:p>
    <w:p>
      <w:pPr>
        <w:ind w:firstLine="3520" w:firstLineChars="1100"/>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 xml:space="preserve"> 项目编号：</w:t>
      </w:r>
    </w:p>
    <w:p>
      <w:pPr>
        <w:ind w:firstLine="3520" w:firstLineChars="11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所投包号：</w:t>
      </w:r>
    </w:p>
    <w:p>
      <w:pPr>
        <w:jc w:val="center"/>
        <w:rPr>
          <w:rFonts w:ascii="宋体" w:hAnsi="宋体" w:cs="Arial"/>
          <w:color w:val="000000" w:themeColor="text1"/>
          <w:szCs w:val="21"/>
          <w14:textFill>
            <w14:solidFill>
              <w14:schemeClr w14:val="tx1"/>
            </w14:solidFill>
          </w14:textFill>
        </w:rPr>
      </w:pP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谈</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判</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响</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应</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文</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件</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商务技术标</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color w:val="000000" w:themeColor="text1"/>
          <w:szCs w:val="21"/>
          <w14:textFill>
            <w14:solidFill>
              <w14:schemeClr w14:val="tx1"/>
            </w14:solidFill>
          </w14:textFill>
        </w:rPr>
      </w:pPr>
    </w:p>
    <w:p>
      <w:pPr>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投标人：                  （盖章）</w:t>
      </w:r>
    </w:p>
    <w:p>
      <w:pPr>
        <w:ind w:firstLine="2240" w:firstLineChars="7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bookmarkEnd w:id="36"/>
    <w:p>
      <w:pPr>
        <w:pStyle w:val="117"/>
        <w:ind w:firstLine="3131" w:firstLineChars="1485"/>
        <w:jc w:val="both"/>
        <w:rPr>
          <w:color w:val="000000" w:themeColor="text1"/>
          <w14:textFill>
            <w14:solidFill>
              <w14:schemeClr w14:val="tx1"/>
            </w14:solidFill>
          </w14:textFill>
        </w:rPr>
      </w:pPr>
      <w:bookmarkStart w:id="572" w:name="_Hlk450146465"/>
      <w:bookmarkStart w:id="573" w:name="_Toc272141473"/>
      <w:bookmarkStart w:id="574" w:name="_Toc293560330"/>
      <w:bookmarkStart w:id="575" w:name="_Toc19920"/>
      <w:bookmarkStart w:id="576" w:name="_Toc482821796"/>
      <w:bookmarkStart w:id="577" w:name="_Toc488157404"/>
      <w:r>
        <w:rPr>
          <w:color w:val="000000" w:themeColor="text1"/>
          <w14:textFill>
            <w14:solidFill>
              <w14:schemeClr w14:val="tx1"/>
            </w14:solidFill>
          </w14:textFill>
        </w:rPr>
        <w:br w:type="page"/>
      </w:r>
      <w:bookmarkStart w:id="578" w:name="_Toc518654921"/>
      <w:r>
        <w:rPr>
          <w:rFonts w:hint="eastAsia"/>
          <w:color w:val="000000" w:themeColor="text1"/>
          <w14:textFill>
            <w14:solidFill>
              <w14:schemeClr w14:val="tx1"/>
            </w14:solidFill>
          </w14:textFill>
        </w:rPr>
        <w:t>一、投标函</w:t>
      </w:r>
      <w:bookmarkEnd w:id="572"/>
      <w:bookmarkEnd w:id="573"/>
      <w:bookmarkEnd w:id="574"/>
      <w:bookmarkEnd w:id="575"/>
      <w:bookmarkEnd w:id="576"/>
      <w:bookmarkEnd w:id="577"/>
      <w:bookmarkEnd w:id="578"/>
    </w:p>
    <w:p>
      <w:pPr>
        <w:spacing w:line="440" w:lineRule="exact"/>
        <w:jc w:val="lef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（采购</w:t>
      </w:r>
      <w:r>
        <w:rPr>
          <w:rFonts w:hint="eastAsia" w:ascii="宋体" w:hAnsi="宋体" w:cs="Arial"/>
          <w:b/>
          <w:color w:val="000000" w:themeColor="text1"/>
          <w:szCs w:val="21"/>
          <w14:textFill>
            <w14:solidFill>
              <w14:schemeClr w14:val="tx1"/>
            </w14:solidFill>
          </w14:textFill>
        </w:rPr>
        <w:t>人</w:t>
      </w:r>
      <w:r>
        <w:rPr>
          <w:rFonts w:ascii="宋体" w:hAnsi="宋体" w:cs="Arial"/>
          <w:b/>
          <w:color w:val="000000" w:themeColor="text1"/>
          <w:szCs w:val="21"/>
          <w14:textFill>
            <w14:solidFill>
              <w14:schemeClr w14:val="tx1"/>
            </w14:solidFill>
          </w14:textFill>
        </w:rPr>
        <w:t>名称）</w:t>
      </w:r>
      <w:r>
        <w:rPr>
          <w:rFonts w:hint="eastAsia" w:ascii="宋体" w:hAnsi="宋体" w:cs="Arial"/>
          <w:b/>
          <w:color w:val="000000" w:themeColor="text1"/>
          <w:szCs w:val="21"/>
          <w14:textFill>
            <w14:solidFill>
              <w14:schemeClr w14:val="tx1"/>
            </w14:solidFill>
          </w14:textFill>
        </w:rPr>
        <w:t>：</w:t>
      </w:r>
    </w:p>
    <w:p>
      <w:pPr>
        <w:spacing w:line="440" w:lineRule="exact"/>
        <w:ind w:firstLine="482" w:firstLineChars="23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1、根据贵方</w:t>
      </w:r>
      <w:r>
        <w:rPr>
          <w:rFonts w:hint="eastAsia" w:ascii="宋体" w:hAnsi="宋体" w:cs="Arial"/>
          <w:color w:val="000000" w:themeColor="text1"/>
          <w:szCs w:val="21"/>
          <w:u w:val="single"/>
          <w14:textFill>
            <w14:solidFill>
              <w14:schemeClr w14:val="tx1"/>
            </w14:solidFill>
          </w14:textFill>
        </w:rPr>
        <w:t xml:space="preserve"> （项目编号） </w:t>
      </w:r>
      <w:r>
        <w:rPr>
          <w:rFonts w:hint="eastAsia" w:ascii="宋体" w:hAnsi="宋体" w:cs="Arial"/>
          <w:color w:val="000000" w:themeColor="text1"/>
          <w:szCs w:val="21"/>
          <w14:textFill>
            <w14:solidFill>
              <w14:schemeClr w14:val="tx1"/>
            </w14:solidFill>
          </w14:textFill>
        </w:rPr>
        <w:t>竞争性谈判公告，我们决定参加贵方组织的</w:t>
      </w:r>
      <w:r>
        <w:rPr>
          <w:rFonts w:hint="eastAsia" w:ascii="宋体" w:hAnsi="宋体" w:cs="Arial"/>
          <w:color w:val="000000" w:themeColor="text1"/>
          <w:szCs w:val="21"/>
          <w:u w:val="single"/>
          <w14:textFill>
            <w14:solidFill>
              <w14:schemeClr w14:val="tx1"/>
            </w14:solidFill>
          </w14:textFill>
        </w:rPr>
        <w:t xml:space="preserve"> （项目名称）   </w:t>
      </w:r>
      <w:r>
        <w:rPr>
          <w:rFonts w:hint="eastAsia" w:ascii="宋体" w:hAnsi="宋体" w:cs="Arial"/>
          <w:color w:val="000000" w:themeColor="text1"/>
          <w:szCs w:val="21"/>
          <w14:textFill>
            <w14:solidFill>
              <w14:schemeClr w14:val="tx1"/>
            </w14:solidFill>
          </w14:textFill>
        </w:rPr>
        <w:t>的招标采购活动。我方授权</w:t>
      </w:r>
      <w:r>
        <w:rPr>
          <w:rFonts w:hint="eastAsia" w:ascii="宋体" w:hAnsi="宋体" w:cs="Arial"/>
          <w:color w:val="000000" w:themeColor="text1"/>
          <w:szCs w:val="21"/>
          <w:u w:val="single"/>
          <w14:textFill>
            <w14:solidFill>
              <w14:schemeClr w14:val="tx1"/>
            </w14:solidFill>
          </w14:textFill>
        </w:rPr>
        <w:t xml:space="preserve">  (姓名和职务)   </w:t>
      </w:r>
      <w:r>
        <w:rPr>
          <w:rFonts w:hint="eastAsia" w:ascii="宋体" w:hAnsi="宋体" w:cs="Arial"/>
          <w:color w:val="000000" w:themeColor="text1"/>
          <w:szCs w:val="21"/>
          <w14:textFill>
            <w14:solidFill>
              <w14:schemeClr w14:val="tx1"/>
            </w14:solidFill>
          </w14:textFill>
        </w:rPr>
        <w:t>代表我方</w:t>
      </w:r>
      <w:r>
        <w:rPr>
          <w:rFonts w:hint="eastAsia" w:ascii="宋体" w:hAnsi="宋体" w:cs="Arial"/>
          <w:color w:val="000000" w:themeColor="text1"/>
          <w:szCs w:val="21"/>
          <w:u w:val="single"/>
          <w14:textFill>
            <w14:solidFill>
              <w14:schemeClr w14:val="tx1"/>
            </w14:solidFill>
          </w14:textFill>
        </w:rPr>
        <w:t xml:space="preserve">  （投标人全称）   </w:t>
      </w:r>
      <w:r>
        <w:rPr>
          <w:rFonts w:hint="eastAsia" w:ascii="宋体" w:hAnsi="宋体" w:cs="Arial"/>
          <w:color w:val="000000" w:themeColor="text1"/>
          <w:szCs w:val="21"/>
          <w14:textFill>
            <w14:solidFill>
              <w14:schemeClr w14:val="tx1"/>
            </w14:solidFill>
          </w14:textFill>
        </w:rPr>
        <w:t>全权处理本项目投标的有关事宜。</w:t>
      </w:r>
    </w:p>
    <w:p>
      <w:pPr>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2、我方愿意按照竞争性谈判文件规定的各项要求，向采购人提供所需的货物与服务。</w:t>
      </w:r>
    </w:p>
    <w:p>
      <w:pPr>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3、一旦我方中标，我方将严格履行合同规定的责任和义务，保证于合同签字生效后按时完成项目并交付采购人验收、使用。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4、我方承诺，在投标有效期内如果我方撤回投标书或中标后拒绝签订合同，我方将放弃要求贵方退还该谈判保证金的权利。</w:t>
      </w:r>
    </w:p>
    <w:p>
      <w:pPr>
        <w:tabs>
          <w:tab w:val="left" w:pos="840"/>
        </w:tabs>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6、我方提供以下开户行、账号，供结算货款（如果成交）：</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户名（全称）：</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开户行：                        </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账号（请填写完整）：</w:t>
      </w:r>
    </w:p>
    <w:p>
      <w:pPr>
        <w:spacing w:line="44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bookmarkStart w:id="579" w:name="_Hlk450185103"/>
      <w:bookmarkStart w:id="580" w:name="_Toc272141474"/>
    </w:p>
    <w:p>
      <w:pPr>
        <w:pStyle w:val="108"/>
        <w:spacing w:line="440" w:lineRule="atLeast"/>
        <w:ind w:firstLine="3675"/>
        <w:rPr>
          <w:color w:val="000000" w:themeColor="text1"/>
          <w14:textFill>
            <w14:solidFill>
              <w14:schemeClr w14:val="tx1"/>
            </w14:solidFill>
          </w14:textFill>
        </w:rPr>
      </w:pP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盖</w:t>
      </w:r>
      <w:r>
        <w:rPr>
          <w:color w:val="000000" w:themeColor="text1"/>
          <w14:textFill>
            <w14:solidFill>
              <w14:schemeClr w14:val="tx1"/>
            </w14:solidFill>
          </w14:textFill>
        </w:rPr>
        <w:t>章）</w:t>
      </w:r>
    </w:p>
    <w:p>
      <w:pPr>
        <w:pStyle w:val="108"/>
        <w:spacing w:line="440" w:lineRule="atLeast"/>
        <w:ind w:firstLine="3675" w:firstLineChars="175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（盖章或签字）或代理人签字</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pStyle w:val="108"/>
        <w:spacing w:line="440" w:lineRule="atLeast"/>
        <w:ind w:firstLine="3675"/>
        <w:rPr>
          <w:color w:val="000000" w:themeColor="text1"/>
          <w14:textFill>
            <w14:solidFill>
              <w14:schemeClr w14:val="tx1"/>
            </w14:solidFill>
          </w14:textFill>
        </w:rPr>
      </w:pPr>
      <w:r>
        <w:rPr>
          <w:color w:val="000000" w:themeColor="text1"/>
          <w14:textFill>
            <w14:solidFill>
              <w14:schemeClr w14:val="tx1"/>
            </w14:solidFill>
          </w14:textFill>
        </w:rPr>
        <w:t>网址：</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电话：</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传真：</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邮政编码：</w:t>
      </w:r>
      <w:r>
        <w:rPr>
          <w:color w:val="000000" w:themeColor="text1"/>
          <w:u w:val="single"/>
          <w14:textFill>
            <w14:solidFill>
              <w14:schemeClr w14:val="tx1"/>
            </w14:solidFill>
          </w14:textFill>
        </w:rPr>
        <w:t xml:space="preserve">                                 </w:t>
      </w:r>
    </w:p>
    <w:p>
      <w:pPr>
        <w:spacing w:line="440" w:lineRule="exact"/>
        <w:ind w:firstLine="2100" w:firstLineChars="10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p>
    <w:bookmarkEnd w:id="579"/>
    <w:bookmarkEnd w:id="580"/>
    <w:p>
      <w:pPr>
        <w:pStyle w:val="117"/>
        <w:rPr>
          <w:color w:val="000000" w:themeColor="text1"/>
          <w14:textFill>
            <w14:solidFill>
              <w14:schemeClr w14:val="tx1"/>
            </w14:solidFill>
          </w14:textFill>
        </w:rPr>
      </w:pPr>
      <w:bookmarkStart w:id="581" w:name="_Toc488157405"/>
      <w:bookmarkStart w:id="582" w:name="_Toc482821797"/>
      <w:bookmarkStart w:id="583" w:name="_Toc8918"/>
      <w:bookmarkStart w:id="584" w:name="_Toc272141478"/>
      <w:bookmarkStart w:id="585" w:name="_Toc293560334"/>
      <w:r>
        <w:rPr>
          <w:color w:val="000000" w:themeColor="text1"/>
          <w14:textFill>
            <w14:solidFill>
              <w14:schemeClr w14:val="tx1"/>
            </w14:solidFill>
          </w14:textFill>
        </w:rPr>
        <w:br w:type="page"/>
      </w:r>
      <w:bookmarkEnd w:id="581"/>
      <w:bookmarkEnd w:id="582"/>
      <w:bookmarkEnd w:id="583"/>
      <w:bookmarkEnd w:id="584"/>
      <w:bookmarkEnd w:id="585"/>
      <w:bookmarkStart w:id="586" w:name="_Toc488157406"/>
      <w:bookmarkStart w:id="587" w:name="_Toc482821798"/>
    </w:p>
    <w:p>
      <w:pPr>
        <w:pStyle w:val="117"/>
        <w:rPr>
          <w:color w:val="000000" w:themeColor="text1"/>
          <w14:textFill>
            <w14:solidFill>
              <w14:schemeClr w14:val="tx1"/>
            </w14:solidFill>
          </w14:textFill>
        </w:rPr>
      </w:pPr>
      <w:bookmarkStart w:id="588" w:name="_Toc518654922"/>
      <w:r>
        <w:rPr>
          <w:rFonts w:hint="eastAsia"/>
          <w:color w:val="000000" w:themeColor="text1"/>
          <w14:textFill>
            <w14:solidFill>
              <w14:schemeClr w14:val="tx1"/>
            </w14:solidFill>
          </w14:textFill>
        </w:rPr>
        <w:t>二、项目要求响应情况表（服务类、工程类项目适用）</w:t>
      </w:r>
      <w:bookmarkEnd w:id="586"/>
      <w:bookmarkEnd w:id="587"/>
      <w:bookmarkEnd w:id="588"/>
    </w:p>
    <w:p>
      <w:pPr>
        <w:rPr>
          <w:color w:val="000000" w:themeColor="text1"/>
          <w14:textFill>
            <w14:solidFill>
              <w14:schemeClr w14:val="tx1"/>
            </w14:solidFill>
          </w14:textFill>
        </w:rPr>
      </w:pPr>
      <w:permStart w:id="35" w:edGrp="everyone"/>
      <w:r>
        <w:rPr>
          <w:rFonts w:hint="eastAsia"/>
          <w:color w:val="000000" w:themeColor="text1"/>
          <w14:textFill>
            <w14:solidFill>
              <w14:schemeClr w14:val="tx1"/>
            </w14:solidFill>
          </w14:textFill>
        </w:rPr>
        <w:t xml:space="preserve">    </w:t>
      </w:r>
      <w:permEnd w:id="35"/>
    </w:p>
    <w:tbl>
      <w:tblPr>
        <w:tblStyle w:val="59"/>
        <w:tblW w:w="918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ermStart w:id="36" w:edGrp="everyone"/>
            <w:r>
              <w:rPr>
                <w:rFonts w:hint="eastAsia" w:ascii="宋体" w:hAnsi="宋体" w:cs="Arial"/>
                <w:color w:val="000000" w:themeColor="text1"/>
                <w:szCs w:val="21"/>
                <w14:textFill>
                  <w14:solidFill>
                    <w14:schemeClr w14:val="tx1"/>
                  </w14:solidFill>
                </w14:textFill>
              </w:rPr>
              <w:t>序号</w:t>
            </w:r>
          </w:p>
        </w:tc>
        <w:tc>
          <w:tcPr>
            <w:tcW w:w="3260"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谈判文件要求</w:t>
            </w:r>
          </w:p>
        </w:tc>
        <w:tc>
          <w:tcPr>
            <w:tcW w:w="2694" w:type="dxa"/>
            <w:vAlign w:val="center"/>
          </w:tcPr>
          <w:p>
            <w:pPr>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投标人填写</w:t>
            </w:r>
          </w:p>
        </w:tc>
        <w:tc>
          <w:tcPr>
            <w:tcW w:w="1276" w:type="dxa"/>
            <w:vAlign w:val="center"/>
          </w:tcPr>
          <w:p>
            <w:pPr>
              <w:ind w:firstLine="105" w:firstLineChars="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permEnd w:id="36"/>
    </w:tbl>
    <w:p>
      <w:pPr>
        <w:tabs>
          <w:tab w:val="left" w:pos="1815"/>
        </w:tabs>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 xml:space="preserve">  </w:t>
      </w:r>
      <w:permStart w:id="37" w:edGrp="everyone"/>
      <w:r>
        <w:rPr>
          <w:rFonts w:hint="eastAsia" w:ascii="宋体" w:hAnsi="宋体" w:cs="Arial"/>
          <w:b/>
          <w:color w:val="000000" w:themeColor="text1"/>
          <w:szCs w:val="21"/>
          <w14:textFill>
            <w14:solidFill>
              <w14:schemeClr w14:val="tx1"/>
            </w14:solidFill>
          </w14:textFill>
        </w:rPr>
        <w:t xml:space="preserve">     </w:t>
      </w:r>
      <w:permEnd w:id="37"/>
    </w:p>
    <w:p>
      <w:pPr>
        <w:tabs>
          <w:tab w:val="left" w:pos="1815"/>
        </w:tabs>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注意：</w:t>
      </w:r>
    </w:p>
    <w:p>
      <w:pPr>
        <w:tabs>
          <w:tab w:val="left" w:pos="1815"/>
        </w:tabs>
        <w:ind w:firstLine="420" w:firstLineChars="200"/>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必须将自己</w:t>
      </w:r>
      <w:r>
        <w:rPr>
          <w:rFonts w:hint="eastAsia" w:ascii="宋体" w:hAnsi="宋体" w:cs="Arial"/>
          <w:color w:val="000000" w:themeColor="text1"/>
          <w:szCs w:val="21"/>
          <w14:textFill>
            <w14:solidFill>
              <w14:schemeClr w14:val="tx1"/>
            </w14:solidFill>
          </w14:textFill>
        </w:rPr>
        <w:t>的</w:t>
      </w:r>
      <w:r>
        <w:rPr>
          <w:rFonts w:ascii="宋体" w:hAnsi="宋体" w:cs="Arial"/>
          <w:color w:val="000000" w:themeColor="text1"/>
          <w:szCs w:val="21"/>
          <w14:textFill>
            <w14:solidFill>
              <w14:schemeClr w14:val="tx1"/>
            </w14:solidFill>
          </w14:textFill>
        </w:rPr>
        <w:t>服务真实、准确地填入“</w:t>
      </w:r>
      <w:r>
        <w:rPr>
          <w:rFonts w:hint="eastAsia" w:ascii="宋体" w:hAnsi="宋体" w:cs="Arial"/>
          <w:color w:val="000000" w:themeColor="text1"/>
          <w:szCs w:val="21"/>
          <w14:textFill>
            <w14:solidFill>
              <w14:schemeClr w14:val="tx1"/>
            </w14:solidFill>
          </w14:textFill>
        </w:rPr>
        <w:t>投标人响应</w:t>
      </w:r>
      <w:r>
        <w:rPr>
          <w:rFonts w:ascii="宋体" w:hAnsi="宋体" w:cs="Arial"/>
          <w:color w:val="000000" w:themeColor="text1"/>
          <w:szCs w:val="21"/>
          <w14:textFill>
            <w14:solidFill>
              <w14:schemeClr w14:val="tx1"/>
            </w14:solidFill>
          </w14:textFill>
        </w:rPr>
        <w:t>情况”中</w:t>
      </w: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不得以“同左”或“同上”形式填写。</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必须根据自己所</w:t>
      </w:r>
      <w:r>
        <w:rPr>
          <w:rFonts w:hint="eastAsia" w:ascii="宋体" w:hAnsi="宋体" w:cs="Arial"/>
          <w:color w:val="000000" w:themeColor="text1"/>
          <w:szCs w:val="21"/>
          <w14:textFill>
            <w14:solidFill>
              <w14:schemeClr w14:val="tx1"/>
            </w14:solidFill>
          </w14:textFill>
        </w:rPr>
        <w:t>提供的施工或者服务</w:t>
      </w:r>
      <w:r>
        <w:rPr>
          <w:rFonts w:ascii="宋体" w:hAnsi="宋体" w:cs="Arial"/>
          <w:color w:val="000000" w:themeColor="text1"/>
          <w:szCs w:val="21"/>
          <w14:textFill>
            <w14:solidFill>
              <w14:schemeClr w14:val="tx1"/>
            </w14:solidFill>
          </w14:textFill>
        </w:rPr>
        <w:t>与“</w:t>
      </w:r>
      <w:r>
        <w:rPr>
          <w:rFonts w:hint="eastAsia" w:ascii="宋体" w:hAnsi="宋体" w:cs="Arial"/>
          <w:color w:val="000000" w:themeColor="text1"/>
          <w:szCs w:val="21"/>
          <w14:textFill>
            <w14:solidFill>
              <w14:schemeClr w14:val="tx1"/>
            </w14:solidFill>
          </w14:textFill>
        </w:rPr>
        <w:t>谈判文件要求</w:t>
      </w:r>
      <w:r>
        <w:rPr>
          <w:rFonts w:ascii="宋体" w:hAnsi="宋体" w:cs="Arial"/>
          <w:color w:val="000000" w:themeColor="text1"/>
          <w:szCs w:val="21"/>
          <w14:textFill>
            <w14:solidFill>
              <w14:schemeClr w14:val="tx1"/>
            </w14:solidFill>
          </w14:textFill>
        </w:rPr>
        <w:t>”的差异情况，实事求是地填写“响应情况”（优于、满足、不满足），并将这些差异内容用加粗的字体显示出来</w:t>
      </w:r>
      <w:r>
        <w:rPr>
          <w:rFonts w:hint="eastAsia" w:ascii="宋体" w:hAnsi="宋体" w:cs="Arial"/>
          <w:color w:val="000000" w:themeColor="text1"/>
          <w:szCs w:val="21"/>
          <w14:textFill>
            <w14:solidFill>
              <w14:schemeClr w14:val="tx1"/>
            </w14:solidFill>
          </w14:textFill>
        </w:rPr>
        <w:t>，不得出现</w:t>
      </w:r>
      <w:r>
        <w:rPr>
          <w:rFonts w:hint="eastAsia" w:ascii="宋体" w:hAnsi="宋体"/>
          <w:color w:val="000000" w:themeColor="text1"/>
          <w:szCs w:val="21"/>
          <w14:textFill>
            <w14:solidFill>
              <w14:schemeClr w14:val="tx1"/>
            </w14:solidFill>
          </w14:textFill>
        </w:rPr>
        <w:t>通过改动谈判文件要求而使自已满足要求的情况。</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3、如果</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没有按前述要求去做，在项目评审中</w:t>
      </w:r>
      <w:r>
        <w:rPr>
          <w:rFonts w:hint="eastAsia" w:ascii="宋体" w:hAnsi="宋体" w:cs="Arial"/>
          <w:color w:val="000000" w:themeColor="text1"/>
          <w:szCs w:val="21"/>
          <w14:textFill>
            <w14:solidFill>
              <w14:schemeClr w14:val="tx1"/>
            </w14:solidFill>
          </w14:textFill>
        </w:rPr>
        <w:t>将</w:t>
      </w:r>
      <w:r>
        <w:rPr>
          <w:rFonts w:ascii="宋体" w:hAnsi="宋体" w:cs="Arial"/>
          <w:color w:val="000000" w:themeColor="text1"/>
          <w:szCs w:val="21"/>
          <w14:textFill>
            <w14:solidFill>
              <w14:schemeClr w14:val="tx1"/>
            </w14:solidFill>
          </w14:textFill>
        </w:rPr>
        <w:t>可能被认为</w:t>
      </w:r>
      <w:r>
        <w:rPr>
          <w:rFonts w:hint="eastAsia" w:ascii="宋体" w:hAnsi="宋体" w:cs="Arial"/>
          <w:color w:val="000000" w:themeColor="text1"/>
          <w:szCs w:val="21"/>
          <w14:textFill>
            <w14:solidFill>
              <w14:schemeClr w14:val="tx1"/>
            </w14:solidFill>
          </w14:textFill>
        </w:rPr>
        <w:t>是</w:t>
      </w:r>
      <w:r>
        <w:rPr>
          <w:rFonts w:ascii="宋体" w:hAnsi="宋体" w:cs="Arial"/>
          <w:color w:val="000000" w:themeColor="text1"/>
          <w:szCs w:val="21"/>
          <w14:textFill>
            <w14:solidFill>
              <w14:schemeClr w14:val="tx1"/>
            </w14:solidFill>
          </w14:textFill>
        </w:rPr>
        <w:t>未对</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文件作出实质上的响应，或被视作不诚信投标人而拒绝对其做进一步的评审。</w:t>
      </w:r>
    </w:p>
    <w:p>
      <w:pPr>
        <w:tabs>
          <w:tab w:val="left" w:pos="1815"/>
        </w:tabs>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4、本表填报顺序需按谈判文件“</w:t>
      </w:r>
      <w:r>
        <w:rPr>
          <w:rFonts w:hint="eastAsia"/>
          <w:color w:val="000000" w:themeColor="text1"/>
          <w14:textFill>
            <w14:solidFill>
              <w14:schemeClr w14:val="tx1"/>
            </w14:solidFill>
          </w14:textFill>
        </w:rPr>
        <w:t>第三章第一大项</w:t>
      </w:r>
      <w:r>
        <w:rPr>
          <w:rFonts w:hint="eastAsia" w:ascii="宋体" w:hAnsi="宋体"/>
          <w:color w:val="000000" w:themeColor="text1"/>
          <w:szCs w:val="21"/>
          <w14:textFill>
            <w14:solidFill>
              <w14:schemeClr w14:val="tx1"/>
            </w14:solidFill>
          </w14:textFill>
        </w:rPr>
        <w:t>”中的顺序填写。</w:t>
      </w:r>
    </w:p>
    <w:p>
      <w:pPr>
        <w:pStyle w:val="117"/>
        <w:rPr>
          <w:color w:val="000000" w:themeColor="text1"/>
          <w14:textFill>
            <w14:solidFill>
              <w14:schemeClr w14:val="tx1"/>
            </w14:solidFill>
          </w14:textFill>
        </w:rPr>
      </w:pPr>
      <w:bookmarkStart w:id="589" w:name="_Toc488157407"/>
      <w:r>
        <w:rPr>
          <w:color w:val="000000" w:themeColor="text1"/>
          <w14:textFill>
            <w14:solidFill>
              <w14:schemeClr w14:val="tx1"/>
            </w14:solidFill>
          </w14:textFill>
        </w:rPr>
        <w:br w:type="page"/>
      </w:r>
      <w:bookmarkStart w:id="590" w:name="_Toc518654923"/>
      <w:r>
        <w:rPr>
          <w:rFonts w:hint="eastAsia"/>
          <w:color w:val="000000" w:themeColor="text1"/>
          <w14:textFill>
            <w14:solidFill>
              <w14:schemeClr w14:val="tx1"/>
            </w14:solidFill>
          </w14:textFill>
        </w:rPr>
        <w:t>三、商务要求响应情况表（通用）</w:t>
      </w:r>
      <w:bookmarkEnd w:id="589"/>
      <w:bookmarkEnd w:id="590"/>
    </w:p>
    <w:p>
      <w:pPr>
        <w:rPr>
          <w:color w:val="000000" w:themeColor="text1"/>
          <w14:textFill>
            <w14:solidFill>
              <w14:schemeClr w14:val="tx1"/>
            </w14:solidFill>
          </w14:textFill>
        </w:rPr>
      </w:pPr>
      <w:permStart w:id="38" w:edGrp="everyone"/>
      <w:r>
        <w:rPr>
          <w:rFonts w:hint="eastAsia"/>
          <w:color w:val="000000" w:themeColor="text1"/>
          <w14:textFill>
            <w14:solidFill>
              <w14:schemeClr w14:val="tx1"/>
            </w14:solidFill>
          </w14:textFill>
        </w:rPr>
        <w:t xml:space="preserve">      </w:t>
      </w:r>
      <w:permEnd w:id="38"/>
    </w:p>
    <w:tbl>
      <w:tblPr>
        <w:tblStyle w:val="59"/>
        <w:tblW w:w="918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ermStart w:id="39" w:edGrp="everyone"/>
            <w:r>
              <w:rPr>
                <w:rFonts w:hint="eastAsia" w:ascii="宋体" w:hAnsi="宋体" w:cs="Arial"/>
                <w:color w:val="000000" w:themeColor="text1"/>
                <w:szCs w:val="21"/>
                <w14:textFill>
                  <w14:solidFill>
                    <w14:schemeClr w14:val="tx1"/>
                  </w14:solidFill>
                </w14:textFill>
              </w:rPr>
              <w:t>序号</w:t>
            </w:r>
          </w:p>
        </w:tc>
        <w:tc>
          <w:tcPr>
            <w:tcW w:w="3544"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谈判文件要求</w:t>
            </w:r>
          </w:p>
        </w:tc>
        <w:tc>
          <w:tcPr>
            <w:tcW w:w="3119" w:type="dxa"/>
            <w:vAlign w:val="center"/>
          </w:tcPr>
          <w:p>
            <w:pPr>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投标人填写</w:t>
            </w:r>
          </w:p>
        </w:tc>
        <w:tc>
          <w:tcPr>
            <w:tcW w:w="1276" w:type="dxa"/>
            <w:vAlign w:val="center"/>
          </w:tcPr>
          <w:p>
            <w:pPr>
              <w:ind w:firstLine="105" w:firstLineChars="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permEnd w:id="39"/>
    </w:tbl>
    <w:p>
      <w:pPr>
        <w:tabs>
          <w:tab w:val="left" w:pos="1815"/>
        </w:tabs>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 xml:space="preserve">  </w:t>
      </w:r>
      <w:permStart w:id="40" w:edGrp="everyone"/>
      <w:r>
        <w:rPr>
          <w:rFonts w:hint="eastAsia" w:ascii="宋体" w:hAnsi="宋体" w:cs="Arial"/>
          <w:b/>
          <w:color w:val="000000" w:themeColor="text1"/>
          <w:szCs w:val="21"/>
          <w14:textFill>
            <w14:solidFill>
              <w14:schemeClr w14:val="tx1"/>
            </w14:solidFill>
          </w14:textFill>
        </w:rPr>
        <w:t xml:space="preserve">      </w:t>
      </w:r>
      <w:permEnd w:id="40"/>
    </w:p>
    <w:p>
      <w:pPr>
        <w:tabs>
          <w:tab w:val="left" w:pos="1815"/>
        </w:tabs>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注意：</w:t>
      </w:r>
    </w:p>
    <w:p>
      <w:pPr>
        <w:tabs>
          <w:tab w:val="left" w:pos="1815"/>
        </w:tabs>
        <w:ind w:firstLine="420" w:firstLineChars="200"/>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bookmarkStart w:id="591" w:name="_Toc488157408"/>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必须将自己</w:t>
      </w:r>
      <w:r>
        <w:rPr>
          <w:rFonts w:hint="eastAsia" w:ascii="宋体" w:hAnsi="宋体" w:cs="Arial"/>
          <w:color w:val="000000" w:themeColor="text1"/>
          <w:szCs w:val="21"/>
          <w14:textFill>
            <w14:solidFill>
              <w14:schemeClr w14:val="tx1"/>
            </w14:solidFill>
          </w14:textFill>
        </w:rPr>
        <w:t>的</w:t>
      </w:r>
      <w:r>
        <w:rPr>
          <w:rFonts w:ascii="宋体" w:hAnsi="宋体" w:cs="Arial"/>
          <w:color w:val="000000" w:themeColor="text1"/>
          <w:szCs w:val="21"/>
          <w14:textFill>
            <w14:solidFill>
              <w14:schemeClr w14:val="tx1"/>
            </w14:solidFill>
          </w14:textFill>
        </w:rPr>
        <w:t>服务真实、准确地填入“</w:t>
      </w:r>
      <w:r>
        <w:rPr>
          <w:rFonts w:hint="eastAsia" w:ascii="宋体" w:hAnsi="宋体" w:cs="Arial"/>
          <w:color w:val="000000" w:themeColor="text1"/>
          <w:szCs w:val="21"/>
          <w14:textFill>
            <w14:solidFill>
              <w14:schemeClr w14:val="tx1"/>
            </w14:solidFill>
          </w14:textFill>
        </w:rPr>
        <w:t>投标人响应</w:t>
      </w:r>
      <w:r>
        <w:rPr>
          <w:rFonts w:ascii="宋体" w:hAnsi="宋体" w:cs="Arial"/>
          <w:color w:val="000000" w:themeColor="text1"/>
          <w:szCs w:val="21"/>
          <w14:textFill>
            <w14:solidFill>
              <w14:schemeClr w14:val="tx1"/>
            </w14:solidFill>
          </w14:textFill>
        </w:rPr>
        <w:t>情况”中</w:t>
      </w: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不得以“同左”或“同上”形式填写。</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必须根据自己所投</w:t>
      </w:r>
      <w:r>
        <w:rPr>
          <w:rFonts w:hint="eastAsia" w:ascii="宋体" w:hAnsi="宋体" w:cs="Arial"/>
          <w:color w:val="000000" w:themeColor="text1"/>
          <w:szCs w:val="21"/>
          <w14:textFill>
            <w14:solidFill>
              <w14:schemeClr w14:val="tx1"/>
            </w14:solidFill>
          </w14:textFill>
        </w:rPr>
        <w:t>服务</w:t>
      </w:r>
      <w:r>
        <w:rPr>
          <w:rFonts w:ascii="宋体" w:hAnsi="宋体" w:cs="Arial"/>
          <w:color w:val="000000" w:themeColor="text1"/>
          <w:szCs w:val="21"/>
          <w14:textFill>
            <w14:solidFill>
              <w14:schemeClr w14:val="tx1"/>
            </w14:solidFill>
          </w14:textFill>
        </w:rPr>
        <w:t>与“</w:t>
      </w:r>
      <w:r>
        <w:rPr>
          <w:rFonts w:hint="eastAsia" w:ascii="宋体" w:hAnsi="宋体" w:cs="Arial"/>
          <w:color w:val="000000" w:themeColor="text1"/>
          <w:szCs w:val="21"/>
          <w14:textFill>
            <w14:solidFill>
              <w14:schemeClr w14:val="tx1"/>
            </w14:solidFill>
          </w14:textFill>
        </w:rPr>
        <w:t>谈判文件要求</w:t>
      </w:r>
      <w:r>
        <w:rPr>
          <w:rFonts w:ascii="宋体" w:hAnsi="宋体" w:cs="Arial"/>
          <w:color w:val="000000" w:themeColor="text1"/>
          <w:szCs w:val="21"/>
          <w14:textFill>
            <w14:solidFill>
              <w14:schemeClr w14:val="tx1"/>
            </w14:solidFill>
          </w14:textFill>
        </w:rPr>
        <w:t>”的差异情况，实事求是地填写“响应情况”（优于、满足、不满足），并将这些差异内容用加粗的字体显示出来</w:t>
      </w:r>
      <w:r>
        <w:rPr>
          <w:rFonts w:hint="eastAsia" w:ascii="宋体" w:hAnsi="宋体" w:cs="Arial"/>
          <w:color w:val="000000" w:themeColor="text1"/>
          <w:szCs w:val="21"/>
          <w14:textFill>
            <w14:solidFill>
              <w14:schemeClr w14:val="tx1"/>
            </w14:solidFill>
          </w14:textFill>
        </w:rPr>
        <w:t>，不得出现</w:t>
      </w:r>
      <w:r>
        <w:rPr>
          <w:rFonts w:hint="eastAsia" w:ascii="宋体" w:hAnsi="宋体"/>
          <w:color w:val="000000" w:themeColor="text1"/>
          <w:szCs w:val="21"/>
          <w14:textFill>
            <w14:solidFill>
              <w14:schemeClr w14:val="tx1"/>
            </w14:solidFill>
          </w14:textFill>
        </w:rPr>
        <w:t>通过改动谈判文件要求而使自已的产品满足要求的情况。</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3、如果</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没有按前述要求去做，在项目评审中</w:t>
      </w:r>
      <w:r>
        <w:rPr>
          <w:rFonts w:hint="eastAsia" w:ascii="宋体" w:hAnsi="宋体" w:cs="Arial"/>
          <w:color w:val="000000" w:themeColor="text1"/>
          <w:szCs w:val="21"/>
          <w14:textFill>
            <w14:solidFill>
              <w14:schemeClr w14:val="tx1"/>
            </w14:solidFill>
          </w14:textFill>
        </w:rPr>
        <w:t>将</w:t>
      </w:r>
      <w:r>
        <w:rPr>
          <w:rFonts w:ascii="宋体" w:hAnsi="宋体" w:cs="Arial"/>
          <w:color w:val="000000" w:themeColor="text1"/>
          <w:szCs w:val="21"/>
          <w14:textFill>
            <w14:solidFill>
              <w14:schemeClr w14:val="tx1"/>
            </w14:solidFill>
          </w14:textFill>
        </w:rPr>
        <w:t>可能被认为</w:t>
      </w:r>
      <w:r>
        <w:rPr>
          <w:rFonts w:hint="eastAsia" w:ascii="宋体" w:hAnsi="宋体" w:cs="Arial"/>
          <w:color w:val="000000" w:themeColor="text1"/>
          <w:szCs w:val="21"/>
          <w14:textFill>
            <w14:solidFill>
              <w14:schemeClr w14:val="tx1"/>
            </w14:solidFill>
          </w14:textFill>
        </w:rPr>
        <w:t>是</w:t>
      </w:r>
      <w:r>
        <w:rPr>
          <w:rFonts w:ascii="宋体" w:hAnsi="宋体" w:cs="Arial"/>
          <w:color w:val="000000" w:themeColor="text1"/>
          <w:szCs w:val="21"/>
          <w14:textFill>
            <w14:solidFill>
              <w14:schemeClr w14:val="tx1"/>
            </w14:solidFill>
          </w14:textFill>
        </w:rPr>
        <w:t>未对</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文件作出实质上的响应，或被视作不诚信投标人而拒绝对其做进一步的评审。</w:t>
      </w:r>
    </w:p>
    <w:p>
      <w:pPr>
        <w:tabs>
          <w:tab w:val="left" w:pos="1815"/>
        </w:tabs>
        <w:ind w:firstLine="420" w:firstLineChars="200"/>
        <w:rPr>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4、本表填报顺序需按谈判文件“第三章第二大项”中的顺序填写。</w:t>
      </w:r>
    </w:p>
    <w:p>
      <w:pPr>
        <w:pStyle w:val="117"/>
        <w:ind w:firstLine="2717" w:firstLineChars="1289"/>
        <w:jc w:val="both"/>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592" w:name="_Toc293560335"/>
      <w:bookmarkStart w:id="593" w:name="_Toc18510"/>
      <w:bookmarkStart w:id="594" w:name="_Toc482821799"/>
      <w:bookmarkStart w:id="595" w:name="_Toc272141479"/>
      <w:bookmarkStart w:id="596" w:name="_Toc518654924"/>
      <w:r>
        <w:rPr>
          <w:rFonts w:hint="eastAsia"/>
          <w:color w:val="000000" w:themeColor="text1"/>
          <w14:textFill>
            <w14:solidFill>
              <w14:schemeClr w14:val="tx1"/>
            </w14:solidFill>
          </w14:textFill>
        </w:rPr>
        <w:t>四、</w:t>
      </w:r>
      <w:bookmarkEnd w:id="591"/>
      <w:bookmarkEnd w:id="592"/>
      <w:bookmarkEnd w:id="593"/>
      <w:bookmarkEnd w:id="594"/>
      <w:bookmarkEnd w:id="595"/>
      <w:r>
        <w:rPr>
          <w:rFonts w:hint="eastAsia"/>
          <w:color w:val="000000" w:themeColor="text1"/>
          <w14:textFill>
            <w14:solidFill>
              <w14:schemeClr w14:val="tx1"/>
            </w14:solidFill>
          </w14:textFill>
        </w:rPr>
        <w:t>本项目实施方案</w:t>
      </w:r>
      <w:bookmarkEnd w:id="596"/>
    </w:p>
    <w:p>
      <w:pPr>
        <w:spacing w:line="44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（一）投标人或生产企业简介</w:t>
      </w:r>
    </w:p>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（不超过1000字）</w:t>
      </w:r>
    </w:p>
    <w:p>
      <w:pPr>
        <w:spacing w:line="44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（二）本项目详细实施方案、售后方案等</w:t>
      </w:r>
    </w:p>
    <w:p>
      <w:pPr>
        <w:spacing w:line="440" w:lineRule="exact"/>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（详细说明）</w:t>
      </w:r>
    </w:p>
    <w:p>
      <w:pPr>
        <w:spacing w:line="440" w:lineRule="exact"/>
        <w:ind w:firstLine="2368" w:firstLineChars="1123"/>
        <w:jc w:val="left"/>
        <w:rPr>
          <w:rFonts w:ascii="宋体" w:hAnsi="宋体"/>
          <w:b/>
          <w:color w:val="000000" w:themeColor="text1"/>
          <w:szCs w:val="21"/>
          <w14:textFill>
            <w14:solidFill>
              <w14:schemeClr w14:val="tx1"/>
            </w14:solidFill>
          </w14:textFill>
        </w:rPr>
      </w:pPr>
    </w:p>
    <w:p>
      <w:pPr>
        <w:pStyle w:val="117"/>
        <w:rPr>
          <w:color w:val="000000" w:themeColor="text1"/>
          <w14:textFill>
            <w14:solidFill>
              <w14:schemeClr w14:val="tx1"/>
            </w14:solidFill>
          </w14:textFill>
        </w:rPr>
      </w:pPr>
      <w:bookmarkStart w:id="597" w:name="_Hlk450185939"/>
      <w:bookmarkStart w:id="598" w:name="_Toc272141480"/>
      <w:bookmarkStart w:id="599" w:name="_Toc293560336"/>
      <w:bookmarkStart w:id="600" w:name="_Toc14703"/>
      <w:bookmarkStart w:id="601" w:name="_Toc482821800"/>
      <w:bookmarkStart w:id="602" w:name="_Toc488157409"/>
      <w:bookmarkStart w:id="603" w:name="_Toc518654925"/>
      <w:r>
        <w:rPr>
          <w:rFonts w:hint="eastAsia"/>
          <w:color w:val="000000" w:themeColor="text1"/>
          <w14:textFill>
            <w14:solidFill>
              <w14:schemeClr w14:val="tx1"/>
            </w14:solidFill>
          </w14:textFill>
        </w:rPr>
        <w:t>五、资格证明文件</w:t>
      </w:r>
      <w:bookmarkEnd w:id="597"/>
      <w:bookmarkEnd w:id="598"/>
      <w:bookmarkEnd w:id="599"/>
      <w:r>
        <w:rPr>
          <w:rFonts w:hint="eastAsia"/>
          <w:color w:val="000000" w:themeColor="text1"/>
          <w14:textFill>
            <w14:solidFill>
              <w14:schemeClr w14:val="tx1"/>
            </w14:solidFill>
          </w14:textFill>
        </w:rPr>
        <w:t>及其他重要资料</w:t>
      </w:r>
      <w:bookmarkEnd w:id="600"/>
      <w:bookmarkEnd w:id="601"/>
      <w:bookmarkEnd w:id="602"/>
      <w:bookmarkEnd w:id="603"/>
    </w:p>
    <w:p>
      <w:pPr>
        <w:spacing w:line="440" w:lineRule="exact"/>
        <w:ind w:firstLine="316" w:firstLineChars="150"/>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投标人必须提供下列合格性文件：</w:t>
      </w:r>
    </w:p>
    <w:p>
      <w:pPr>
        <w:numPr>
          <w:ilvl w:val="0"/>
          <w:numId w:val="8"/>
        </w:numPr>
        <w:spacing w:line="44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营业执照</w:t>
      </w:r>
    </w:p>
    <w:p>
      <w:pPr>
        <w:numPr>
          <w:ilvl w:val="0"/>
          <w:numId w:val="8"/>
        </w:numPr>
        <w:spacing w:line="44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税务登记证</w:t>
      </w:r>
    </w:p>
    <w:p>
      <w:pPr>
        <w:spacing w:line="440" w:lineRule="exact"/>
        <w:ind w:firstLine="210" w:firstLineChars="100"/>
        <w:jc w:val="left"/>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s="Arial"/>
          <w:b/>
          <w:color w:val="000000" w:themeColor="text1"/>
          <w:szCs w:val="21"/>
          <w14:textFill>
            <w14:solidFill>
              <w14:schemeClr w14:val="tx1"/>
            </w14:solidFill>
          </w14:textFill>
        </w:rPr>
        <w:t>三）</w:t>
      </w:r>
      <w:r>
        <w:rPr>
          <w:rFonts w:ascii="宋体" w:hAnsi="宋体" w:cs="Arial"/>
          <w:b/>
          <w:color w:val="000000" w:themeColor="text1"/>
          <w:szCs w:val="21"/>
          <w14:textFill>
            <w14:solidFill>
              <w14:schemeClr w14:val="tx1"/>
            </w14:solidFill>
          </w14:textFill>
        </w:rPr>
        <w:t>法定代表人授权</w:t>
      </w:r>
      <w:r>
        <w:rPr>
          <w:rFonts w:hint="eastAsia" w:ascii="宋体" w:hAnsi="宋体" w:cs="Arial"/>
          <w:b/>
          <w:color w:val="000000" w:themeColor="text1"/>
          <w:szCs w:val="21"/>
          <w14:textFill>
            <w14:solidFill>
              <w14:schemeClr w14:val="tx1"/>
            </w14:solidFill>
          </w14:textFill>
        </w:rPr>
        <w:t>委托</w:t>
      </w:r>
      <w:r>
        <w:rPr>
          <w:rFonts w:ascii="宋体" w:hAnsi="宋体" w:cs="Arial"/>
          <w:b/>
          <w:color w:val="000000" w:themeColor="text1"/>
          <w:szCs w:val="21"/>
          <w14:textFill>
            <w14:solidFill>
              <w14:schemeClr w14:val="tx1"/>
            </w14:solidFill>
          </w14:textFill>
        </w:rPr>
        <w:t>书</w:t>
      </w:r>
    </w:p>
    <w:p>
      <w:pPr>
        <w:spacing w:line="440" w:lineRule="exact"/>
        <w:jc w:val="lef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（采购</w:t>
      </w:r>
      <w:r>
        <w:rPr>
          <w:rFonts w:hint="eastAsia" w:ascii="宋体" w:hAnsi="宋体" w:cs="Arial"/>
          <w:b/>
          <w:color w:val="000000" w:themeColor="text1"/>
          <w:szCs w:val="21"/>
          <w14:textFill>
            <w14:solidFill>
              <w14:schemeClr w14:val="tx1"/>
            </w14:solidFill>
          </w14:textFill>
        </w:rPr>
        <w:t>人</w:t>
      </w:r>
      <w:r>
        <w:rPr>
          <w:rFonts w:ascii="宋体" w:hAnsi="宋体" w:cs="Arial"/>
          <w:b/>
          <w:color w:val="000000" w:themeColor="text1"/>
          <w:szCs w:val="21"/>
          <w14:textFill>
            <w14:solidFill>
              <w14:schemeClr w14:val="tx1"/>
            </w14:solidFill>
          </w14:textFill>
        </w:rPr>
        <w:t>名称）</w:t>
      </w:r>
      <w:r>
        <w:rPr>
          <w:rFonts w:hint="eastAsia" w:ascii="宋体" w:hAnsi="宋体" w:cs="Arial"/>
          <w:b/>
          <w:color w:val="000000" w:themeColor="text1"/>
          <w:szCs w:val="21"/>
          <w14:textFill>
            <w14:solidFill>
              <w14:schemeClr w14:val="tx1"/>
            </w14:solidFill>
          </w14:textFill>
        </w:rPr>
        <w:t>：</w:t>
      </w:r>
    </w:p>
    <w:p>
      <w:pPr>
        <w:pStyle w:val="108"/>
        <w:topLinePunct/>
        <w:spacing w:line="440" w:lineRule="atLeast"/>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本人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（姓名）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投标人</w:t>
      </w:r>
      <w:r>
        <w:rPr>
          <w:color w:val="000000" w:themeColor="text1"/>
          <w:u w:val="single"/>
          <w14:textFill>
            <w14:solidFill>
              <w14:schemeClr w14:val="tx1"/>
            </w14:solidFill>
          </w14:textFill>
        </w:rPr>
        <w:t xml:space="preserve">名称）    </w:t>
      </w:r>
      <w:r>
        <w:rPr>
          <w:color w:val="000000" w:themeColor="text1"/>
          <w14:textFill>
            <w14:solidFill>
              <w14:schemeClr w14:val="tx1"/>
            </w14:solidFill>
          </w14:textFill>
        </w:rPr>
        <w:t>的法定代表人，现委托</w:t>
      </w:r>
      <w:r>
        <w:rPr>
          <w:color w:val="000000" w:themeColor="text1"/>
          <w:u w:val="single"/>
          <w14:textFill>
            <w14:solidFill>
              <w14:schemeClr w14:val="tx1"/>
            </w14:solidFill>
          </w14:textFill>
        </w:rPr>
        <w:t xml:space="preserve">        （姓名</w:t>
      </w:r>
      <w:r>
        <w:rPr>
          <w:rFonts w:hint="eastAsia"/>
          <w:color w:val="000000" w:themeColor="text1"/>
          <w:u w:val="single"/>
          <w14:textFill>
            <w14:solidFill>
              <w14:schemeClr w14:val="tx1"/>
            </w14:solidFill>
          </w14:textFill>
        </w:rPr>
        <w:t>、职务</w:t>
      </w:r>
      <w:r>
        <w:rPr>
          <w:color w:val="000000" w:themeColor="text1"/>
          <w:u w:val="single"/>
          <w14:textFill>
            <w14:solidFill>
              <w14:schemeClr w14:val="tx1"/>
            </w14:solidFill>
          </w14:textFill>
        </w:rPr>
        <w:t>）</w:t>
      </w:r>
      <w:r>
        <w:rPr>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color w:val="000000" w:themeColor="text1"/>
          <w14:textFill>
            <w14:solidFill>
              <w14:schemeClr w14:val="tx1"/>
            </w14:solidFill>
          </w14:textFill>
        </w:rPr>
        <w:t>、递交、撤回、修改</w:t>
      </w:r>
      <w:r>
        <w:rPr>
          <w:color w:val="000000" w:themeColor="text1"/>
          <w:u w:val="single"/>
          <w14:textFill>
            <w14:solidFill>
              <w14:schemeClr w14:val="tx1"/>
            </w14:solidFill>
          </w14:textFill>
        </w:rPr>
        <w:t xml:space="preserve">  （项目名称</w:t>
      </w:r>
      <w:r>
        <w:rPr>
          <w:rFonts w:hint="eastAsia"/>
          <w:color w:val="000000" w:themeColor="text1"/>
          <w:u w:val="single"/>
          <w14:textFill>
            <w14:solidFill>
              <w14:schemeClr w14:val="tx1"/>
            </w14:solidFill>
          </w14:textFill>
        </w:rPr>
        <w:t>、项目编号</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投标文件、签订合同和处理有关事宜，其法律后果由我方承担。</w:t>
      </w:r>
    </w:p>
    <w:p>
      <w:pPr>
        <w:pStyle w:val="108"/>
        <w:spacing w:line="44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委托期限：</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440" w:lineRule="exact"/>
        <w:ind w:firstLine="420" w:firstLineChars="200"/>
        <w:jc w:val="left"/>
        <w:rPr>
          <w:rFonts w:ascii="宋体" w:hAnsi="宋体" w:cs="Arial"/>
          <w:b/>
          <w:color w:val="000000" w:themeColor="text1"/>
          <w:szCs w:val="21"/>
          <w14:textFill>
            <w14:solidFill>
              <w14:schemeClr w14:val="tx1"/>
            </w14:solidFill>
          </w14:textFill>
        </w:rPr>
      </w:pPr>
      <w:r>
        <w:rPr>
          <w:color w:val="000000" w:themeColor="text1"/>
          <w14:textFill>
            <w14:solidFill>
              <w14:schemeClr w14:val="tx1"/>
            </w14:solidFill>
          </w14:textFill>
        </w:rPr>
        <w:t>代理人无转委托权。</w:t>
      </w:r>
    </w:p>
    <w:p>
      <w:pPr>
        <w:spacing w:line="440" w:lineRule="exact"/>
        <w:jc w:val="left"/>
        <w:rPr>
          <w:rFonts w:ascii="宋体" w:hAnsi="宋体" w:cs="Arial"/>
          <w:color w:val="000000" w:themeColor="text1"/>
          <w:szCs w:val="21"/>
          <w14:textFill>
            <w14:solidFill>
              <w14:schemeClr w14:val="tx1"/>
            </w14:solidFill>
          </w14:textFill>
        </w:rPr>
      </w:pPr>
    </w:p>
    <w:p>
      <w:pPr>
        <w:spacing w:line="440" w:lineRule="exact"/>
        <w:ind w:firstLine="1890" w:firstLineChars="900"/>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法定代表人</w:t>
      </w:r>
      <w:r>
        <w:rPr>
          <w:rFonts w:hint="eastAsia" w:ascii="宋体" w:hAnsi="宋体" w:cs="Arial"/>
          <w:color w:val="000000" w:themeColor="text1"/>
          <w:szCs w:val="21"/>
          <w14:textFill>
            <w14:solidFill>
              <w14:schemeClr w14:val="tx1"/>
            </w14:solidFill>
          </w14:textFill>
        </w:rPr>
        <w:t>签字或盖章</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身份证号码</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p>
    <w:p>
      <w:pPr>
        <w:spacing w:line="440" w:lineRule="exact"/>
        <w:ind w:firstLine="1680" w:firstLineChars="800"/>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代理人（被授权人）</w:t>
      </w:r>
      <w:r>
        <w:rPr>
          <w:rFonts w:hint="eastAsia" w:ascii="宋体" w:hAnsi="宋体" w:cs="Arial"/>
          <w:color w:val="000000" w:themeColor="text1"/>
          <w:szCs w:val="21"/>
          <w14:textFill>
            <w14:solidFill>
              <w14:schemeClr w14:val="tx1"/>
            </w14:solidFill>
          </w14:textFill>
        </w:rPr>
        <w:t>签字</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u w:val="single"/>
          <w14:textFill>
            <w14:solidFill>
              <w14:schemeClr w14:val="tx1"/>
            </w14:solidFill>
          </w14:textFill>
        </w:rPr>
        <w:t xml:space="preserve">        </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身份证号码</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投标人</w:t>
      </w:r>
      <w:r>
        <w:rPr>
          <w:rFonts w:ascii="宋体" w:hAnsi="宋体" w:cs="Arial"/>
          <w:color w:val="000000" w:themeColor="text1"/>
          <w:szCs w:val="21"/>
          <w14:textFill>
            <w14:solidFill>
              <w14:schemeClr w14:val="tx1"/>
            </w14:solidFill>
          </w14:textFill>
        </w:rPr>
        <w:t>名称：</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u w:val="single"/>
          <w14:textFill>
            <w14:solidFill>
              <w14:schemeClr w14:val="tx1"/>
            </w14:solidFill>
          </w14:textFill>
        </w:rPr>
        <w:t xml:space="preserve">              </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盖</w:t>
      </w:r>
      <w:r>
        <w:rPr>
          <w:color w:val="000000" w:themeColor="text1"/>
          <w14:textFill>
            <w14:solidFill>
              <w14:schemeClr w14:val="tx1"/>
            </w14:solidFill>
          </w14:textFill>
        </w:rPr>
        <w:t>章</w:t>
      </w:r>
      <w:r>
        <w:rPr>
          <w:rFonts w:hint="eastAsia" w:ascii="宋体" w:hAnsi="宋体" w:cs="Arial"/>
          <w:color w:val="000000" w:themeColor="text1"/>
          <w:szCs w:val="21"/>
          <w14:textFill>
            <w14:solidFill>
              <w14:schemeClr w14:val="tx1"/>
            </w14:solidFill>
          </w14:textFill>
        </w:rPr>
        <w:t>）</w:t>
      </w:r>
    </w:p>
    <w:p>
      <w:pPr>
        <w:spacing w:line="440" w:lineRule="exact"/>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 xml:space="preserve"> 日      期：</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u w:val="single"/>
          <w14:textFill>
            <w14:solidFill>
              <w14:schemeClr w14:val="tx1"/>
            </w14:solidFill>
          </w14:textFill>
        </w:rPr>
        <w:t xml:space="preserve">      </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（需附投标人法定代表人、被授权代表人身份证正反面扫描件）</w:t>
      </w:r>
    </w:p>
    <w:tbl>
      <w:tblPr>
        <w:tblStyle w:val="5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261" w:type="dxa"/>
            <w:vAlign w:val="center"/>
          </w:tcPr>
          <w:p>
            <w:pPr>
              <w:jc w:val="center"/>
              <w:rPr>
                <w:rFonts w:ascii="仿宋_GB2312" w:eastAsia="仿宋_GB2312"/>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被授权代表人</w:t>
            </w:r>
            <w:r>
              <w:rPr>
                <w:rFonts w:hint="eastAsia" w:ascii="宋体" w:cs="宋体"/>
                <w:b/>
                <w:color w:val="000000" w:themeColor="text1"/>
                <w:kern w:val="0"/>
                <w:szCs w:val="21"/>
                <w:lang w:val="zh-CN"/>
                <w14:textFill>
                  <w14:solidFill>
                    <w14:schemeClr w14:val="tx1"/>
                  </w14:solidFill>
                </w14:textFill>
              </w:rPr>
              <w:t>身份证正面</w:t>
            </w:r>
          </w:p>
        </w:tc>
        <w:tc>
          <w:tcPr>
            <w:tcW w:w="4261" w:type="dxa"/>
            <w:vAlign w:val="center"/>
          </w:tcPr>
          <w:p>
            <w:pPr>
              <w:jc w:val="center"/>
              <w:rPr>
                <w:rFonts w:ascii="仿宋_GB2312" w:eastAsia="仿宋_GB2312"/>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被授权代表人</w:t>
            </w:r>
            <w:r>
              <w:rPr>
                <w:rFonts w:hint="eastAsia" w:ascii="宋体" w:cs="宋体"/>
                <w:b/>
                <w:color w:val="000000" w:themeColor="text1"/>
                <w:kern w:val="0"/>
                <w:szCs w:val="21"/>
                <w:lang w:val="zh-CN"/>
                <w14:textFill>
                  <w14:solidFill>
                    <w14:schemeClr w14:val="tx1"/>
                  </w14:solidFill>
                </w14:textFill>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261" w:type="dxa"/>
            <w:vAlign w:val="center"/>
          </w:tcPr>
          <w:p>
            <w:pPr>
              <w:jc w:val="center"/>
              <w:rPr>
                <w:rFonts w:ascii="宋体" w:cs="宋体"/>
                <w:b/>
                <w:color w:val="000000" w:themeColor="text1"/>
                <w:kern w:val="0"/>
                <w:szCs w:val="21"/>
                <w:lang w:val="zh-CN"/>
                <w14:textFill>
                  <w14:solidFill>
                    <w14:schemeClr w14:val="tx1"/>
                  </w14:solidFill>
                </w14:textFill>
              </w:rPr>
            </w:pPr>
            <w:r>
              <w:rPr>
                <w:rFonts w:hint="eastAsia" w:ascii="宋体" w:cs="宋体"/>
                <w:b/>
                <w:color w:val="000000" w:themeColor="text1"/>
                <w:kern w:val="0"/>
                <w:szCs w:val="21"/>
                <w:lang w:val="zh-CN"/>
                <w14:textFill>
                  <w14:solidFill>
                    <w14:schemeClr w14:val="tx1"/>
                  </w14:solidFill>
                </w14:textFill>
              </w:rPr>
              <w:t>法定代表人身份证正面</w:t>
            </w:r>
          </w:p>
        </w:tc>
        <w:tc>
          <w:tcPr>
            <w:tcW w:w="4261" w:type="dxa"/>
            <w:vAlign w:val="center"/>
          </w:tcPr>
          <w:p>
            <w:pPr>
              <w:jc w:val="center"/>
              <w:rPr>
                <w:rFonts w:ascii="宋体" w:cs="宋体"/>
                <w:b/>
                <w:color w:val="000000" w:themeColor="text1"/>
                <w:kern w:val="0"/>
                <w:szCs w:val="21"/>
                <w:lang w:val="zh-CN"/>
                <w14:textFill>
                  <w14:solidFill>
                    <w14:schemeClr w14:val="tx1"/>
                  </w14:solidFill>
                </w14:textFill>
              </w:rPr>
            </w:pPr>
            <w:r>
              <w:rPr>
                <w:rFonts w:hint="eastAsia" w:ascii="宋体" w:cs="宋体"/>
                <w:b/>
                <w:color w:val="000000" w:themeColor="text1"/>
                <w:kern w:val="0"/>
                <w:szCs w:val="21"/>
                <w:lang w:val="zh-CN"/>
                <w14:textFill>
                  <w14:solidFill>
                    <w14:schemeClr w14:val="tx1"/>
                  </w14:solidFill>
                </w14:textFill>
              </w:rPr>
              <w:t>法定代表人身份证反面</w:t>
            </w:r>
          </w:p>
        </w:tc>
      </w:tr>
    </w:tbl>
    <w:p>
      <w:pPr>
        <w:spacing w:line="440" w:lineRule="exact"/>
        <w:ind w:firstLine="211" w:firstLineChars="100"/>
        <w:jc w:val="left"/>
        <w:rPr>
          <w:rFonts w:ascii="宋体" w:hAnsi="宋体" w:cs="Arial"/>
          <w:b/>
          <w:color w:val="000000" w:themeColor="text1"/>
          <w:szCs w:val="21"/>
          <w14:textFill>
            <w14:solidFill>
              <w14:schemeClr w14:val="tx1"/>
            </w14:solidFill>
          </w14:textFill>
        </w:rPr>
      </w:pPr>
    </w:p>
    <w:p>
      <w:pPr>
        <w:spacing w:line="400" w:lineRule="exact"/>
        <w:ind w:firstLine="211" w:firstLineChars="100"/>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（四）法定代表人身份证明书</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单位性质： </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成立时间：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经营期限：</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r>
        <w:rPr>
          <w:rFonts w:ascii="宋体" w:hAnsi="宋体"/>
          <w:color w:val="000000" w:themeColor="text1"/>
          <w:sz w:val="24"/>
          <w:szCs w:val="24"/>
          <w14:textFill>
            <w14:solidFill>
              <w14:schemeClr w14:val="tx1"/>
            </w14:solidFill>
          </w14:textFill>
        </w:rPr>
        <w:t>纳税人识别号</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性别：</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职务：</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_</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身份证号码：</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系</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（投标人名称）的法定代表人。</w:t>
      </w:r>
    </w:p>
    <w:p>
      <w:pPr>
        <w:spacing w:line="40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特此证明。</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投标人：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盖</w:t>
      </w:r>
      <w:r>
        <w:rPr>
          <w:color w:val="000000" w:themeColor="text1"/>
          <w14:textFill>
            <w14:solidFill>
              <w14:schemeClr w14:val="tx1"/>
            </w14:solidFill>
          </w14:textFill>
        </w:rPr>
        <w:t>章</w:t>
      </w:r>
      <w:r>
        <w:rPr>
          <w:rFonts w:hint="eastAsia" w:ascii="宋体" w:hAnsi="宋体"/>
          <w:color w:val="000000" w:themeColor="text1"/>
          <w:sz w:val="24"/>
          <w:szCs w:val="24"/>
          <w14:textFill>
            <w14:solidFill>
              <w14:schemeClr w14:val="tx1"/>
            </w14:solidFill>
          </w14:textFill>
        </w:rPr>
        <w:t>）</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pacing w:line="400" w:lineRule="exact"/>
        <w:rPr>
          <w:rFonts w:ascii="宋体" w:hAnsi="宋体"/>
          <w:color w:val="000000" w:themeColor="text1"/>
          <w:sz w:val="24"/>
          <w:szCs w:val="24"/>
          <w14:textFill>
            <w14:solidFill>
              <w14:schemeClr w14:val="tx1"/>
            </w14:solidFill>
          </w14:textFill>
        </w:rPr>
      </w:pPr>
    </w:p>
    <w:p>
      <w:pPr>
        <w:spacing w:line="240" w:lineRule="atLeast"/>
        <w:ind w:firstLine="2221" w:firstLineChars="790"/>
        <w:rPr>
          <w:rFonts w:ascii="宋体" w:hAnsi="宋体" w:cs="Arial"/>
          <w:b/>
          <w:color w:val="000000" w:themeColor="text1"/>
          <w:sz w:val="28"/>
          <w:szCs w:val="28"/>
          <w14:textFill>
            <w14:solidFill>
              <w14:schemeClr w14:val="tx1"/>
            </w14:solidFill>
          </w14:textFill>
        </w:rPr>
      </w:pPr>
      <w:permStart w:id="41" w:edGrp="everyone"/>
      <w:r>
        <w:rPr>
          <w:rFonts w:hint="eastAsia" w:ascii="宋体" w:hAnsi="宋体" w:cs="Arial"/>
          <w:b/>
          <w:color w:val="000000" w:themeColor="text1"/>
          <w:sz w:val="28"/>
          <w:szCs w:val="28"/>
          <w14:textFill>
            <w14:solidFill>
              <w14:schemeClr w14:val="tx1"/>
            </w14:solidFill>
          </w14:textFill>
        </w:rPr>
        <w:t>（五）谈判文件规定的其他材料</w:t>
      </w:r>
    </w:p>
    <w:permEnd w:id="41"/>
    <w:p>
      <w:pPr>
        <w:pStyle w:val="117"/>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 xml:space="preserve">  </w:t>
      </w:r>
      <w:bookmarkStart w:id="604" w:name="_Toc518654926"/>
      <w:r>
        <w:rPr>
          <w:rFonts w:hint="eastAsia"/>
          <w:color w:val="000000" w:themeColor="text1"/>
          <w14:textFill>
            <w14:solidFill>
              <w14:schemeClr w14:val="tx1"/>
            </w14:solidFill>
          </w14:textFill>
        </w:rPr>
        <w:t>价格标格式</w:t>
      </w:r>
      <w:bookmarkEnd w:id="604"/>
    </w:p>
    <w:p>
      <w:pPr>
        <w:rPr>
          <w:rFonts w:ascii="宋体" w:hAnsi="宋体" w:cs="Arial"/>
          <w:color w:val="000000" w:themeColor="text1"/>
          <w:szCs w:val="21"/>
          <w14:textFill>
            <w14:solidFill>
              <w14:schemeClr w14:val="tx1"/>
            </w14:solidFill>
          </w14:textFill>
        </w:rPr>
      </w:pPr>
      <w:bookmarkStart w:id="605" w:name="_Toc293560331"/>
    </w:p>
    <w:p>
      <w:pPr>
        <w:rPr>
          <w:rFonts w:ascii="宋体" w:hAnsi="宋体" w:cs="Arial"/>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 xml:space="preserve">                        项目名称：</w:t>
      </w: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项目编号：</w:t>
      </w: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所投包号：</w:t>
      </w:r>
    </w:p>
    <w:p>
      <w:pPr>
        <w:jc w:val="center"/>
        <w:rPr>
          <w:rFonts w:ascii="宋体" w:hAnsi="宋体" w:cs="Arial"/>
          <w:color w:val="000000" w:themeColor="text1"/>
          <w:szCs w:val="21"/>
          <w14:textFill>
            <w14:solidFill>
              <w14:schemeClr w14:val="tx1"/>
            </w14:solidFill>
          </w14:textFill>
        </w:rPr>
      </w:pP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谈</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判</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响</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应</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文</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件</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价格标</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color w:val="000000" w:themeColor="text1"/>
          <w:szCs w:val="21"/>
          <w14:textFill>
            <w14:solidFill>
              <w14:schemeClr w14:val="tx1"/>
            </w14:solidFill>
          </w14:textFill>
        </w:rPr>
      </w:pPr>
    </w:p>
    <w:p>
      <w:pPr>
        <w:ind w:firstLine="1960" w:firstLineChars="7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p>
    <w:p>
      <w:pPr>
        <w:rPr>
          <w:rFonts w:ascii="宋体" w:hAnsi="宋体" w:cs="Arial"/>
          <w:b/>
          <w:color w:val="000000" w:themeColor="text1"/>
          <w:sz w:val="28"/>
          <w:szCs w:val="28"/>
          <w:u w:val="single"/>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投标人：                      （盖</w:t>
      </w:r>
      <w:r>
        <w:rPr>
          <w:rFonts w:ascii="宋体" w:hAnsi="宋体" w:cs="Arial"/>
          <w:color w:val="000000" w:themeColor="text1"/>
          <w:sz w:val="28"/>
          <w:szCs w:val="28"/>
          <w14:textFill>
            <w14:solidFill>
              <w14:schemeClr w14:val="tx1"/>
            </w14:solidFill>
          </w14:textFill>
        </w:rPr>
        <w:t>章</w:t>
      </w:r>
      <w:r>
        <w:rPr>
          <w:rFonts w:hint="eastAsia" w:ascii="宋体" w:hAnsi="宋体" w:cs="Arial"/>
          <w:color w:val="000000" w:themeColor="text1"/>
          <w:sz w:val="28"/>
          <w:szCs w:val="28"/>
          <w14:textFill>
            <w14:solidFill>
              <w14:schemeClr w14:val="tx1"/>
            </w14:solidFill>
          </w14:textFill>
        </w:rPr>
        <w:t>）</w:t>
      </w:r>
    </w:p>
    <w:p>
      <w:pP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年     月      日</w:t>
      </w:r>
    </w:p>
    <w:p>
      <w:pPr>
        <w:pStyle w:val="4"/>
        <w:ind w:firstLine="2554" w:firstLineChars="795"/>
        <w:rPr>
          <w:color w:val="000000" w:themeColor="text1"/>
          <w14:textFill>
            <w14:solidFill>
              <w14:schemeClr w14:val="tx1"/>
            </w14:solidFill>
          </w14:textFill>
        </w:rPr>
      </w:pPr>
      <w:bookmarkStart w:id="606" w:name="_Toc2979"/>
      <w:bookmarkStart w:id="607" w:name="_Toc482821801"/>
      <w:bookmarkStart w:id="608" w:name="_Toc488157410"/>
      <w:r>
        <w:rPr>
          <w:color w:val="000000" w:themeColor="text1"/>
          <w14:textFill>
            <w14:solidFill>
              <w14:schemeClr w14:val="tx1"/>
            </w14:solidFill>
          </w14:textFill>
        </w:rPr>
        <w:br w:type="page"/>
      </w:r>
      <w:bookmarkStart w:id="609" w:name="_Toc518654927"/>
      <w:r>
        <w:rPr>
          <w:rFonts w:hint="eastAsia"/>
          <w:color w:val="000000" w:themeColor="text1"/>
          <w14:textFill>
            <w14:solidFill>
              <w14:schemeClr w14:val="tx1"/>
            </w14:solidFill>
          </w14:textFill>
        </w:rPr>
        <w:t>一、</w:t>
      </w:r>
      <w:bookmarkEnd w:id="605"/>
      <w:bookmarkEnd w:id="606"/>
      <w:bookmarkEnd w:id="607"/>
      <w:bookmarkStart w:id="610" w:name="_Hlk450185766"/>
      <w:bookmarkStart w:id="611" w:name="_Toc272141475"/>
      <w:bookmarkStart w:id="612" w:name="_Toc293560332"/>
      <w:r>
        <w:rPr>
          <w:rFonts w:hint="eastAsia"/>
          <w:color w:val="000000" w:themeColor="text1"/>
          <w14:textFill>
            <w14:solidFill>
              <w14:schemeClr w14:val="tx1"/>
            </w14:solidFill>
          </w14:textFill>
        </w:rPr>
        <w:t>开标一览表</w:t>
      </w:r>
      <w:bookmarkEnd w:id="608"/>
      <w:bookmarkEnd w:id="609"/>
    </w:p>
    <w:p>
      <w:pPr>
        <w:spacing w:line="500" w:lineRule="exact"/>
        <w:rPr>
          <w:rFonts w:ascii="宋体" w:hAnsi="宋体" w:cs="Arial"/>
          <w:b/>
          <w:color w:val="000000" w:themeColor="text1"/>
          <w:szCs w:val="21"/>
          <w14:textFill>
            <w14:solidFill>
              <w14:schemeClr w14:val="tx1"/>
            </w14:solidFill>
          </w14:textFill>
        </w:rPr>
      </w:pPr>
      <w:permStart w:id="42" w:edGrp="everyone"/>
      <w:r>
        <w:rPr>
          <w:rFonts w:hint="eastAsia" w:ascii="宋体" w:hAnsi="宋体" w:cs="Arial"/>
          <w:b/>
          <w:color w:val="000000" w:themeColor="text1"/>
          <w:szCs w:val="21"/>
          <w14:textFill>
            <w14:solidFill>
              <w14:schemeClr w14:val="tx1"/>
            </w14:solidFill>
          </w14:textFill>
        </w:rPr>
        <w:t xml:space="preserve">       </w:t>
      </w:r>
      <w:permEnd w:id="42"/>
    </w:p>
    <w:tbl>
      <w:tblPr>
        <w:tblStyle w:val="59"/>
        <w:tblW w:w="8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投标人（盖章）</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法定代表人（签字或盖章）或</w:t>
            </w:r>
          </w:p>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3369" w:type="dxa"/>
            <w:tcBorders>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permStart w:id="43" w:edGrp="everyone" w:colFirst="0" w:colLast="0"/>
            <w:permStart w:id="44" w:edGrp="everyone" w:colFirst="1" w:colLast="1"/>
            <w:r>
              <w:rPr>
                <w:rFonts w:hint="eastAsia" w:ascii="宋体" w:hAnsi="宋体" w:cs="Arial"/>
                <w:color w:val="000000" w:themeColor="text1"/>
                <w:szCs w:val="21"/>
                <w14:textFill>
                  <w14:solidFill>
                    <w14:schemeClr w14:val="tx1"/>
                  </w14:solidFill>
                </w14:textFill>
              </w:rPr>
              <w:t>投标总报价（人民币大写）</w:t>
            </w:r>
          </w:p>
        </w:tc>
        <w:tc>
          <w:tcPr>
            <w:tcW w:w="5202" w:type="dxa"/>
            <w:tcBorders>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圆</w:t>
            </w:r>
          </w:p>
        </w:tc>
      </w:tr>
      <w:permEnd w:id="43"/>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3369" w:type="dxa"/>
            <w:tcBorders>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permStart w:id="45" w:edGrp="everyone" w:colFirst="0" w:colLast="0"/>
            <w:permStart w:id="46" w:edGrp="everyone" w:colFirst="1" w:colLast="1"/>
            <w:r>
              <w:rPr>
                <w:rFonts w:hint="eastAsia" w:ascii="宋体" w:hAnsi="宋体" w:cs="Arial"/>
                <w:color w:val="000000" w:themeColor="text1"/>
                <w:szCs w:val="21"/>
                <w14:textFill>
                  <w14:solidFill>
                    <w14:schemeClr w14:val="tx1"/>
                  </w14:solidFill>
                </w14:textFill>
              </w:rPr>
              <w:t>投标总报价（人民币小写）</w:t>
            </w:r>
          </w:p>
        </w:tc>
        <w:tc>
          <w:tcPr>
            <w:tcW w:w="5202" w:type="dxa"/>
            <w:tcBorders>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元</w:t>
            </w:r>
          </w:p>
        </w:tc>
      </w:tr>
      <w:permEnd w:id="45"/>
      <w:permEnd w:id="46"/>
    </w:tbl>
    <w:p>
      <w:pPr>
        <w:pStyle w:val="113"/>
        <w:ind w:firstLine="420"/>
        <w:rPr>
          <w:color w:val="000000" w:themeColor="text1"/>
          <w14:textFill>
            <w14:solidFill>
              <w14:schemeClr w14:val="tx1"/>
            </w14:solidFill>
          </w14:textFill>
        </w:rPr>
      </w:pPr>
      <w:bookmarkStart w:id="613" w:name="_Toc488157411"/>
      <w:bookmarkStart w:id="614" w:name="_Toc482821802"/>
      <w:bookmarkStart w:id="615" w:name="_Toc3760"/>
      <w:r>
        <w:rPr>
          <w:rFonts w:hint="eastAsia"/>
          <w:color w:val="000000" w:themeColor="text1"/>
          <w14:textFill>
            <w14:solidFill>
              <w14:schemeClr w14:val="tx1"/>
            </w14:solidFill>
          </w14:textFill>
        </w:rPr>
        <w:t xml:space="preserve">       </w:t>
      </w:r>
    </w:p>
    <w:p>
      <w:pPr>
        <w:pStyle w:val="117"/>
        <w:ind w:firstLine="1878" w:firstLineChars="891"/>
        <w:jc w:val="both"/>
        <w:rPr>
          <w:color w:val="000000" w:themeColor="text1"/>
          <w14:textFill>
            <w14:solidFill>
              <w14:schemeClr w14:val="tx1"/>
            </w14:solidFill>
          </w14:textFill>
        </w:rPr>
      </w:pPr>
      <w:r>
        <w:rPr>
          <w:color w:val="000000" w:themeColor="text1"/>
          <w14:textFill>
            <w14:solidFill>
              <w14:schemeClr w14:val="tx1"/>
            </w14:solidFill>
          </w14:textFill>
        </w:rPr>
        <w:br w:type="page"/>
      </w:r>
      <w:bookmarkEnd w:id="610"/>
      <w:bookmarkEnd w:id="611"/>
      <w:bookmarkEnd w:id="612"/>
      <w:bookmarkEnd w:id="613"/>
      <w:bookmarkEnd w:id="614"/>
      <w:bookmarkEnd w:id="615"/>
      <w:bookmarkStart w:id="616" w:name="_Toc482821803"/>
      <w:bookmarkStart w:id="617" w:name="_Toc488157412"/>
    </w:p>
    <w:p>
      <w:pPr>
        <w:pStyle w:val="117"/>
        <w:ind w:firstLine="1885" w:firstLineChars="894"/>
        <w:jc w:val="both"/>
        <w:rPr>
          <w:color w:val="000000" w:themeColor="text1"/>
          <w14:textFill>
            <w14:solidFill>
              <w14:schemeClr w14:val="tx1"/>
            </w14:solidFill>
          </w14:textFill>
        </w:rPr>
      </w:pPr>
      <w:bookmarkStart w:id="618" w:name="_Toc518654928"/>
      <w:r>
        <w:rPr>
          <w:rFonts w:hint="eastAsia"/>
          <w:color w:val="000000" w:themeColor="text1"/>
          <w14:textFill>
            <w14:solidFill>
              <w14:schemeClr w14:val="tx1"/>
            </w14:solidFill>
          </w14:textFill>
        </w:rPr>
        <w:t>二、分项报价表（服务类、工程类项目适用）</w:t>
      </w:r>
      <w:bookmarkEnd w:id="616"/>
      <w:bookmarkEnd w:id="617"/>
      <w:bookmarkEnd w:id="618"/>
    </w:p>
    <w:p>
      <w:pPr>
        <w:pStyle w:val="113"/>
        <w:ind w:firstLine="420"/>
        <w:rPr>
          <w:color w:val="000000" w:themeColor="text1"/>
          <w14:textFill>
            <w14:solidFill>
              <w14:schemeClr w14:val="tx1"/>
            </w14:solidFill>
          </w14:textFill>
        </w:rPr>
      </w:pPr>
      <w:permStart w:id="47" w:edGrp="everyone"/>
      <w:r>
        <w:rPr>
          <w:rFonts w:hint="eastAsia"/>
          <w:color w:val="000000" w:themeColor="text1"/>
          <w14:textFill>
            <w14:solidFill>
              <w14:schemeClr w14:val="tx1"/>
            </w14:solidFill>
          </w14:textFill>
        </w:rPr>
        <w:t xml:space="preserve">    </w:t>
      </w:r>
      <w:permEnd w:id="47"/>
    </w:p>
    <w:tbl>
      <w:tblPr>
        <w:tblStyle w:val="59"/>
        <w:tblW w:w="8789" w:type="dxa"/>
        <w:jc w:val="center"/>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ermStart w:id="48" w:edGrp="everyone"/>
            <w:r>
              <w:rPr>
                <w:rFonts w:hint="eastAsia" w:ascii="宋体" w:hAnsi="宋体" w:cs="Arial"/>
                <w:color w:val="000000" w:themeColor="text1"/>
                <w:szCs w:val="21"/>
                <w14:textFill>
                  <w14:solidFill>
                    <w14:schemeClr w14:val="tx1"/>
                  </w14:solidFill>
                </w14:textFill>
              </w:rPr>
              <w:t>序号</w:t>
            </w:r>
          </w:p>
        </w:tc>
        <w:tc>
          <w:tcPr>
            <w:tcW w:w="5234"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内容</w:t>
            </w:r>
          </w:p>
        </w:tc>
        <w:tc>
          <w:tcPr>
            <w:tcW w:w="1559"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总价</w:t>
            </w:r>
          </w:p>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（元）</w:t>
            </w:r>
          </w:p>
        </w:tc>
        <w:tc>
          <w:tcPr>
            <w:tcW w:w="1276"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拟提供</w:t>
            </w:r>
            <w:r>
              <w:rPr>
                <w:rFonts w:hint="eastAsia" w:ascii="宋体" w:hAnsi="宋体" w:cs="Arial"/>
                <w:color w:val="000000" w:themeColor="text1"/>
                <w:szCs w:val="21"/>
                <w14:textFill>
                  <w14:solidFill>
                    <w14:schemeClr w14:val="tx1"/>
                  </w14:solidFill>
                </w14:textFill>
              </w:rPr>
              <w:t>工程</w:t>
            </w:r>
            <w:r>
              <w:rPr>
                <w:rFonts w:ascii="宋体" w:hAnsi="宋体" w:cs="Arial"/>
                <w:color w:val="000000" w:themeColor="text1"/>
                <w:szCs w:val="21"/>
                <w14:textFill>
                  <w14:solidFill>
                    <w14:schemeClr w14:val="tx1"/>
                  </w14:solidFill>
                </w14:textFill>
              </w:rPr>
              <w:t>费用</w:t>
            </w: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restart"/>
            <w:vAlign w:val="center"/>
          </w:tcPr>
          <w:p>
            <w:pPr>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合计</w:t>
            </w:r>
          </w:p>
        </w:tc>
        <w:tc>
          <w:tcPr>
            <w:tcW w:w="5234" w:type="dxa"/>
            <w:vAlign w:val="center"/>
          </w:tcPr>
          <w:p>
            <w:pPr>
              <w:jc w:val="center"/>
              <w:rPr>
                <w:rFonts w:ascii="宋体" w:hAnsi="宋体" w:cs="Arial"/>
                <w:b/>
                <w:color w:val="000000" w:themeColor="text1"/>
                <w:szCs w:val="21"/>
                <w14:textFill>
                  <w14:solidFill>
                    <w14:schemeClr w14:val="tx1"/>
                  </w14:solidFill>
                </w14:textFill>
              </w:rPr>
            </w:pPr>
          </w:p>
        </w:tc>
        <w:tc>
          <w:tcPr>
            <w:tcW w:w="1559" w:type="dxa"/>
            <w:vAlign w:val="center"/>
          </w:tcPr>
          <w:p>
            <w:pPr>
              <w:jc w:val="center"/>
              <w:rPr>
                <w:rFonts w:ascii="宋体" w:hAnsi="宋体" w:cs="Arial"/>
                <w:b/>
                <w:color w:val="000000" w:themeColor="text1"/>
                <w:szCs w:val="21"/>
                <w14:textFill>
                  <w14:solidFill>
                    <w14:schemeClr w14:val="tx1"/>
                  </w14:solidFill>
                </w14:textFill>
              </w:rPr>
            </w:pPr>
          </w:p>
        </w:tc>
        <w:tc>
          <w:tcPr>
            <w:tcW w:w="1276" w:type="dxa"/>
            <w:vMerge w:val="continue"/>
          </w:tcPr>
          <w:p>
            <w:pPr>
              <w:jc w:val="center"/>
              <w:rPr>
                <w:rFonts w:ascii="宋体" w:hAnsi="宋体" w:cs="Arial"/>
                <w:b/>
                <w:color w:val="000000" w:themeColor="text1"/>
                <w:szCs w:val="21"/>
                <w14:textFill>
                  <w14:solidFill>
                    <w14:schemeClr w14:val="tx1"/>
                  </w14:solidFill>
                </w14:textFill>
              </w:rPr>
            </w:pPr>
          </w:p>
        </w:tc>
      </w:tr>
      <w:permEnd w:id="48"/>
    </w:tbl>
    <w:p>
      <w:p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w:t>
      </w:r>
      <w:permStart w:id="49" w:edGrp="everyone"/>
      <w:r>
        <w:rPr>
          <w:rFonts w:hint="eastAsia" w:ascii="宋体" w:hAnsi="宋体" w:cs="Arial"/>
          <w:color w:val="000000" w:themeColor="text1"/>
          <w:szCs w:val="21"/>
          <w14:textFill>
            <w14:solidFill>
              <w14:schemeClr w14:val="tx1"/>
            </w14:solidFill>
          </w14:textFill>
        </w:rPr>
        <w:t xml:space="preserve">    </w:t>
      </w:r>
      <w:permEnd w:id="49"/>
    </w:p>
    <w:p>
      <w:p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注：</w:t>
      </w:r>
      <w:permStart w:id="50" w:edGrp="everyone"/>
      <w:r>
        <w:rPr>
          <w:rFonts w:hint="eastAsia" w:ascii="宋体" w:hAnsi="宋体" w:cs="Arial"/>
          <w:color w:val="000000" w:themeColor="text1"/>
          <w:szCs w:val="21"/>
          <w14:textFill>
            <w14:solidFill>
              <w14:schemeClr w14:val="tx1"/>
            </w14:solidFill>
          </w14:textFill>
        </w:rPr>
        <w:t>本表应清楚地标明投标人拟提供的服务或工程费用等内容，其合计价格应与开标一览表中的总报价保持一致。</w:t>
      </w:r>
      <w:permEnd w:id="50"/>
    </w:p>
    <w:p>
      <w:pPr>
        <w:rPr>
          <w:rFonts w:ascii="宋体" w:hAnsi="宋体" w:cs="Arial"/>
          <w:color w:val="000000" w:themeColor="text1"/>
          <w:szCs w:val="21"/>
          <w14:textFill>
            <w14:solidFill>
              <w14:schemeClr w14:val="tx1"/>
            </w14:solidFill>
          </w14:textFill>
        </w:rPr>
      </w:pPr>
    </w:p>
    <w:p>
      <w:pPr>
        <w:rPr>
          <w:color w:val="000000" w:themeColor="text1"/>
          <w:lang w:bidi="he-IL"/>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footerReference r:id="rId5" w:type="even"/>
      <w:pgSz w:w="11906" w:h="16838"/>
      <w:pgMar w:top="1304" w:right="1134" w:bottom="1304" w:left="1134"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86"/>
    <w:family w:val="auto"/>
    <w:pitch w:val="default"/>
    <w:sig w:usb0="00000000" w:usb1="00000000" w:usb2="00000010" w:usb3="00000000" w:csb0="0004000A"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9406" w:y="57"/>
      <w:jc w:val="both"/>
      <w:rPr>
        <w:rStyle w:val="54"/>
      </w:rPr>
    </w:pPr>
    <w:r>
      <w:rPr>
        <w:rStyle w:val="54"/>
        <w:rFonts w:hint="eastAsia"/>
      </w:rPr>
      <w:t>—</w:t>
    </w:r>
    <w:r>
      <w:rPr>
        <w:rFonts w:ascii="Arial" w:hAnsi="Arial" w:cs="Arial"/>
        <w:b/>
        <w:i/>
        <w:sz w:val="21"/>
        <w:szCs w:val="21"/>
      </w:rPr>
      <w:fldChar w:fldCharType="begin"/>
    </w:r>
    <w:r>
      <w:rPr>
        <w:rStyle w:val="54"/>
        <w:rFonts w:cs="Arial"/>
        <w:b/>
        <w:i/>
        <w:sz w:val="21"/>
        <w:szCs w:val="21"/>
      </w:rPr>
      <w:instrText xml:space="preserve">PAGE  </w:instrText>
    </w:r>
    <w:r>
      <w:rPr>
        <w:rFonts w:ascii="Arial" w:hAnsi="Arial" w:cs="Arial"/>
        <w:b/>
        <w:i/>
        <w:sz w:val="21"/>
        <w:szCs w:val="21"/>
      </w:rPr>
      <w:fldChar w:fldCharType="separate"/>
    </w:r>
    <w:r>
      <w:rPr>
        <w:rStyle w:val="54"/>
        <w:rFonts w:cs="Arial"/>
        <w:b/>
        <w:i/>
        <w:sz w:val="21"/>
        <w:szCs w:val="21"/>
      </w:rPr>
      <w:t>43</w:t>
    </w:r>
    <w:r>
      <w:rPr>
        <w:rFonts w:ascii="Arial" w:hAnsi="Arial" w:cs="Arial"/>
        <w:b/>
        <w:i/>
        <w:sz w:val="21"/>
        <w:szCs w:val="21"/>
      </w:rPr>
      <w:fldChar w:fldCharType="end"/>
    </w:r>
    <w:r>
      <w:rPr>
        <w:rStyle w:val="54"/>
        <w:rFonts w:hint="eastAsia"/>
      </w:rPr>
      <w:t>—</w:t>
    </w:r>
  </w:p>
  <w:p>
    <w:pPr>
      <w:pStyle w:val="33"/>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1</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3">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4">
    <w:nsid w:val="611E1761"/>
    <w:multiLevelType w:val="singleLevel"/>
    <w:tmpl w:val="611E1761"/>
    <w:lvl w:ilvl="0" w:tentative="0">
      <w:start w:val="2"/>
      <w:numFmt w:val="chineseCounting"/>
      <w:suff w:val="nothing"/>
      <w:lvlText w:val="（%1）"/>
      <w:lvlJc w:val="left"/>
      <w:rPr>
        <w:rFonts w:hint="eastAsia"/>
      </w:rPr>
    </w:lvl>
  </w:abstractNum>
  <w:abstractNum w:abstractNumId="5">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6">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43"/>
    <w:rsid w:val="0000278E"/>
    <w:rsid w:val="000942FE"/>
    <w:rsid w:val="000D5665"/>
    <w:rsid w:val="000F2B1E"/>
    <w:rsid w:val="0011340C"/>
    <w:rsid w:val="00146543"/>
    <w:rsid w:val="001647C2"/>
    <w:rsid w:val="001746A1"/>
    <w:rsid w:val="0018355D"/>
    <w:rsid w:val="00191B02"/>
    <w:rsid w:val="001C1780"/>
    <w:rsid w:val="001D59A4"/>
    <w:rsid w:val="001D688F"/>
    <w:rsid w:val="001E4BBB"/>
    <w:rsid w:val="002C3841"/>
    <w:rsid w:val="003314B3"/>
    <w:rsid w:val="003D00A9"/>
    <w:rsid w:val="00444929"/>
    <w:rsid w:val="00464144"/>
    <w:rsid w:val="004C0A92"/>
    <w:rsid w:val="00577E1B"/>
    <w:rsid w:val="005D3E26"/>
    <w:rsid w:val="005F6A6B"/>
    <w:rsid w:val="006211C5"/>
    <w:rsid w:val="00641EA1"/>
    <w:rsid w:val="00667466"/>
    <w:rsid w:val="006908BD"/>
    <w:rsid w:val="00744FF8"/>
    <w:rsid w:val="00811253"/>
    <w:rsid w:val="008131EB"/>
    <w:rsid w:val="0088304A"/>
    <w:rsid w:val="008B73BA"/>
    <w:rsid w:val="008F73AF"/>
    <w:rsid w:val="00A0153D"/>
    <w:rsid w:val="00A130F6"/>
    <w:rsid w:val="00AA7D1B"/>
    <w:rsid w:val="00B149C4"/>
    <w:rsid w:val="00B528DE"/>
    <w:rsid w:val="00B62351"/>
    <w:rsid w:val="00BC2E09"/>
    <w:rsid w:val="00BF3ABF"/>
    <w:rsid w:val="00C03816"/>
    <w:rsid w:val="00C06546"/>
    <w:rsid w:val="00D10887"/>
    <w:rsid w:val="00D12BF6"/>
    <w:rsid w:val="00D232A6"/>
    <w:rsid w:val="00DB3B3E"/>
    <w:rsid w:val="00DF0B81"/>
    <w:rsid w:val="00E93C25"/>
    <w:rsid w:val="00EA74E9"/>
    <w:rsid w:val="00ED354A"/>
    <w:rsid w:val="00F37D11"/>
    <w:rsid w:val="0B433389"/>
    <w:rsid w:val="17DA3561"/>
    <w:rsid w:val="1D8B4C42"/>
    <w:rsid w:val="294648AD"/>
    <w:rsid w:val="33C832C5"/>
    <w:rsid w:val="397A7E41"/>
    <w:rsid w:val="77D1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0" w:semiHidden="0"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qFormat="1" w:unhideWhenUsed="0" w:uiPriority="99" w:semiHidden="0"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9"/>
    <w:pPr>
      <w:keepNext/>
      <w:numPr>
        <w:ilvl w:val="0"/>
        <w:numId w:val="1"/>
      </w:numPr>
      <w:outlineLvl w:val="0"/>
    </w:pPr>
    <w:rPr>
      <w:rFonts w:ascii="Arial" w:hAnsi="Arial" w:eastAsia="仿宋_GB2312" w:cs="Times New Roman"/>
      <w:sz w:val="28"/>
      <w:szCs w:val="20"/>
      <w:lang w:bidi="he-IL"/>
    </w:rPr>
  </w:style>
  <w:style w:type="paragraph" w:styleId="3">
    <w:name w:val="heading 2"/>
    <w:basedOn w:val="1"/>
    <w:next w:val="1"/>
    <w:link w:val="62"/>
    <w:qFormat/>
    <w:uiPriority w:val="9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3"/>
    <w:qFormat/>
    <w:uiPriority w:val="99"/>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1"/>
    <w:link w:val="64"/>
    <w:qFormat/>
    <w:uiPriority w:val="9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5"/>
    <w:qFormat/>
    <w:uiPriority w:val="9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6"/>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kern w:val="0"/>
      <w:sz w:val="24"/>
      <w:szCs w:val="24"/>
    </w:rPr>
  </w:style>
  <w:style w:type="paragraph" w:styleId="8">
    <w:name w:val="heading 7"/>
    <w:basedOn w:val="1"/>
    <w:next w:val="1"/>
    <w:link w:val="67"/>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8"/>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0">
    <w:name w:val="heading 9"/>
    <w:basedOn w:val="1"/>
    <w:next w:val="1"/>
    <w:link w:val="69"/>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Cs w:val="21"/>
    </w:rPr>
  </w:style>
  <w:style w:type="character" w:default="1" w:styleId="52">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eastAsia="宋体" w:cs="Times New Roman"/>
      <w:szCs w:val="21"/>
    </w:rPr>
  </w:style>
  <w:style w:type="paragraph" w:styleId="12">
    <w:name w:val="annotation subject"/>
    <w:basedOn w:val="13"/>
    <w:next w:val="13"/>
    <w:link w:val="115"/>
    <w:qFormat/>
    <w:uiPriority w:val="99"/>
    <w:rPr>
      <w:b/>
      <w:bCs/>
      <w:szCs w:val="20"/>
    </w:rPr>
  </w:style>
  <w:style w:type="paragraph" w:styleId="13">
    <w:name w:val="annotation text"/>
    <w:basedOn w:val="1"/>
    <w:link w:val="111"/>
    <w:qFormat/>
    <w:uiPriority w:val="99"/>
    <w:pPr>
      <w:jc w:val="left"/>
    </w:pPr>
    <w:rPr>
      <w:szCs w:val="24"/>
    </w:rPr>
  </w:style>
  <w:style w:type="paragraph" w:styleId="14">
    <w:name w:val="toc 7"/>
    <w:basedOn w:val="1"/>
    <w:next w:val="1"/>
    <w:qFormat/>
    <w:uiPriority w:val="99"/>
    <w:pPr>
      <w:ind w:left="2520" w:leftChars="1200"/>
    </w:pPr>
    <w:rPr>
      <w:rFonts w:ascii="Times New Roman" w:hAnsi="Times New Roman" w:eastAsia="宋体" w:cs="Times New Roman"/>
      <w:szCs w:val="20"/>
    </w:rPr>
  </w:style>
  <w:style w:type="paragraph" w:styleId="15">
    <w:name w:val="Body Text First Indent"/>
    <w:basedOn w:val="16"/>
    <w:link w:val="88"/>
    <w:qFormat/>
    <w:uiPriority w:val="0"/>
    <w:pPr>
      <w:spacing w:after="120"/>
      <w:ind w:firstLine="420" w:firstLineChars="100"/>
      <w:jc w:val="both"/>
    </w:pPr>
    <w:rPr>
      <w:rFonts w:eastAsia="宋体" w:asciiTheme="minorHAnsi" w:hAnsiTheme="minorHAnsi"/>
      <w:b w:val="0"/>
      <w:sz w:val="21"/>
    </w:rPr>
  </w:style>
  <w:style w:type="paragraph" w:styleId="16">
    <w:name w:val="Body Text"/>
    <w:basedOn w:val="1"/>
    <w:link w:val="86"/>
    <w:qFormat/>
    <w:uiPriority w:val="99"/>
    <w:pPr>
      <w:jc w:val="left"/>
    </w:pPr>
    <w:rPr>
      <w:rFonts w:ascii="Arial" w:hAnsi="Arial" w:eastAsia="黑体"/>
      <w:b/>
      <w:sz w:val="32"/>
    </w:rPr>
  </w:style>
  <w:style w:type="paragraph" w:styleId="17">
    <w:name w:val="Normal Indent"/>
    <w:basedOn w:val="1"/>
    <w:link w:val="75"/>
    <w:qFormat/>
    <w:uiPriority w:val="99"/>
    <w:pPr>
      <w:adjustRightInd w:val="0"/>
      <w:spacing w:line="360" w:lineRule="atLeast"/>
      <w:ind w:firstLine="482"/>
      <w:textAlignment w:val="baseline"/>
    </w:pPr>
    <w:rPr>
      <w:rFonts w:eastAsia="宋体"/>
      <w:sz w:val="24"/>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Document Map"/>
    <w:basedOn w:val="1"/>
    <w:link w:val="109"/>
    <w:qFormat/>
    <w:uiPriority w:val="99"/>
    <w:rPr>
      <w:rFonts w:ascii="宋体" w:hAnsi="Times New Roman" w:eastAsia="宋体" w:cs="Times New Roman"/>
      <w:sz w:val="18"/>
      <w:szCs w:val="18"/>
    </w:rPr>
  </w:style>
  <w:style w:type="paragraph" w:styleId="20">
    <w:name w:val="Salutation"/>
    <w:basedOn w:val="1"/>
    <w:next w:val="1"/>
    <w:link w:val="126"/>
    <w:qFormat/>
    <w:uiPriority w:val="99"/>
    <w:rPr>
      <w:rFonts w:ascii="仿宋_GB2312" w:hAnsi="Times New Roman" w:eastAsia="仿宋_GB2312" w:cs="仿宋_GB2312"/>
      <w:sz w:val="28"/>
      <w:szCs w:val="28"/>
    </w:rPr>
  </w:style>
  <w:style w:type="paragraph" w:styleId="21">
    <w:name w:val="Body Text 3"/>
    <w:basedOn w:val="1"/>
    <w:link w:val="127"/>
    <w:qFormat/>
    <w:uiPriority w:val="99"/>
    <w:pPr>
      <w:adjustRightInd w:val="0"/>
      <w:snapToGrid w:val="0"/>
    </w:pPr>
    <w:rPr>
      <w:rFonts w:ascii="仿宋_GB2312" w:hAnsi="宋体" w:eastAsia="仿宋_GB2312" w:cs="仿宋_GB2312"/>
      <w:color w:val="000000"/>
      <w:sz w:val="24"/>
      <w:szCs w:val="24"/>
    </w:rPr>
  </w:style>
  <w:style w:type="paragraph" w:styleId="22">
    <w:name w:val="Body Text Indent"/>
    <w:basedOn w:val="1"/>
    <w:link w:val="91"/>
    <w:qFormat/>
    <w:uiPriority w:val="99"/>
    <w:pPr>
      <w:ind w:firstLine="645"/>
    </w:pPr>
    <w:rPr>
      <w:rFonts w:ascii="Arial" w:hAnsi="Arial" w:eastAsia="仿宋_GB2312" w:cs="Times New Roman"/>
      <w:sz w:val="28"/>
      <w:szCs w:val="20"/>
    </w:rPr>
  </w:style>
  <w:style w:type="paragraph" w:styleId="23">
    <w:name w:val="List 2"/>
    <w:basedOn w:val="1"/>
    <w:qFormat/>
    <w:uiPriority w:val="99"/>
    <w:pPr>
      <w:ind w:left="100" w:leftChars="200" w:hanging="200" w:hangingChars="200"/>
    </w:pPr>
    <w:rPr>
      <w:rFonts w:ascii="Times New Roman" w:hAnsi="Times New Roman" w:eastAsia="宋体" w:cs="Times New Roman"/>
      <w:szCs w:val="21"/>
    </w:rPr>
  </w:style>
  <w:style w:type="paragraph" w:styleId="24">
    <w:name w:val="List Continue"/>
    <w:basedOn w:val="1"/>
    <w:qFormat/>
    <w:uiPriority w:val="99"/>
    <w:pPr>
      <w:spacing w:after="120"/>
      <w:ind w:left="420" w:leftChars="200"/>
    </w:pPr>
    <w:rPr>
      <w:rFonts w:ascii="Times New Roman" w:hAnsi="Times New Roman" w:eastAsia="宋体" w:cs="Times New Roman"/>
      <w:szCs w:val="21"/>
    </w:rPr>
  </w:style>
  <w:style w:type="paragraph" w:styleId="25">
    <w:name w:val="index 4"/>
    <w:basedOn w:val="1"/>
    <w:next w:val="1"/>
    <w:semiHidden/>
    <w:qFormat/>
    <w:uiPriority w:val="99"/>
    <w:pPr>
      <w:ind w:left="600" w:leftChars="600"/>
    </w:pPr>
    <w:rPr>
      <w:rFonts w:ascii="Times New Roman" w:hAnsi="Times New Roman" w:eastAsia="宋体" w:cs="Times New Roman"/>
      <w:szCs w:val="21"/>
    </w:rPr>
  </w:style>
  <w:style w:type="paragraph" w:styleId="26">
    <w:name w:val="toc 5"/>
    <w:basedOn w:val="1"/>
    <w:next w:val="1"/>
    <w:qFormat/>
    <w:uiPriority w:val="99"/>
    <w:pPr>
      <w:ind w:left="1680" w:leftChars="800"/>
    </w:pPr>
    <w:rPr>
      <w:rFonts w:ascii="Times New Roman" w:hAnsi="Times New Roman" w:eastAsia="宋体" w:cs="Times New Roman"/>
      <w:szCs w:val="20"/>
    </w:rPr>
  </w:style>
  <w:style w:type="paragraph" w:styleId="27">
    <w:name w:val="toc 3"/>
    <w:basedOn w:val="1"/>
    <w:next w:val="1"/>
    <w:qFormat/>
    <w:uiPriority w:val="39"/>
    <w:pPr>
      <w:ind w:left="840" w:leftChars="400"/>
    </w:pPr>
    <w:rPr>
      <w:rFonts w:ascii="Times New Roman" w:hAnsi="Times New Roman" w:eastAsia="宋体" w:cs="Times New Roman"/>
      <w:szCs w:val="20"/>
    </w:rPr>
  </w:style>
  <w:style w:type="paragraph" w:styleId="28">
    <w:name w:val="Plain Text"/>
    <w:basedOn w:val="1"/>
    <w:link w:val="81"/>
    <w:qFormat/>
    <w:uiPriority w:val="99"/>
    <w:rPr>
      <w:rFonts w:ascii="宋体" w:hAnsi="Courier New" w:eastAsia="宋体"/>
    </w:rPr>
  </w:style>
  <w:style w:type="paragraph" w:styleId="29">
    <w:name w:val="toc 8"/>
    <w:basedOn w:val="1"/>
    <w:next w:val="1"/>
    <w:qFormat/>
    <w:uiPriority w:val="99"/>
    <w:pPr>
      <w:ind w:left="2940" w:leftChars="1400"/>
    </w:pPr>
    <w:rPr>
      <w:rFonts w:ascii="Times New Roman" w:hAnsi="Times New Roman" w:eastAsia="宋体" w:cs="Times New Roman"/>
      <w:szCs w:val="20"/>
    </w:rPr>
  </w:style>
  <w:style w:type="paragraph" w:styleId="30">
    <w:name w:val="Date"/>
    <w:basedOn w:val="1"/>
    <w:next w:val="1"/>
    <w:link w:val="85"/>
    <w:qFormat/>
    <w:uiPriority w:val="99"/>
    <w:rPr>
      <w:rFonts w:ascii="仿宋_GB2312" w:eastAsia="仿宋_GB2312"/>
      <w:sz w:val="30"/>
      <w:lang w:bidi="he-IL"/>
    </w:rPr>
  </w:style>
  <w:style w:type="paragraph" w:styleId="31">
    <w:name w:val="Body Text Indent 2"/>
    <w:basedOn w:val="1"/>
    <w:link w:val="90"/>
    <w:qFormat/>
    <w:uiPriority w:val="99"/>
    <w:pPr>
      <w:ind w:firstLine="570"/>
    </w:pPr>
    <w:rPr>
      <w:rFonts w:ascii="Arial" w:hAnsi="Arial" w:eastAsia="仿宋_GB2312" w:cs="Times New Roman"/>
      <w:b/>
      <w:sz w:val="28"/>
      <w:szCs w:val="20"/>
    </w:rPr>
  </w:style>
  <w:style w:type="paragraph" w:styleId="32">
    <w:name w:val="Balloon Text"/>
    <w:basedOn w:val="1"/>
    <w:link w:val="84"/>
    <w:qFormat/>
    <w:uiPriority w:val="99"/>
    <w:rPr>
      <w:rFonts w:eastAsia="宋体"/>
      <w:sz w:val="18"/>
      <w:szCs w:val="18"/>
    </w:rPr>
  </w:style>
  <w:style w:type="paragraph" w:styleId="33">
    <w:name w:val="footer"/>
    <w:basedOn w:val="1"/>
    <w:link w:val="89"/>
    <w:qFormat/>
    <w:uiPriority w:val="99"/>
    <w:pPr>
      <w:tabs>
        <w:tab w:val="center" w:pos="4153"/>
        <w:tab w:val="right" w:pos="8306"/>
      </w:tabs>
      <w:snapToGrid w:val="0"/>
      <w:jc w:val="left"/>
    </w:pPr>
    <w:rPr>
      <w:rFonts w:ascii="Times New Roman" w:hAnsi="Times New Roman" w:eastAsia="宋体" w:cs="Times New Roman"/>
      <w:sz w:val="18"/>
      <w:szCs w:val="20"/>
      <w:lang w:bidi="he-IL"/>
    </w:rPr>
  </w:style>
  <w:style w:type="paragraph" w:styleId="34">
    <w:name w:val="header"/>
    <w:basedOn w:val="1"/>
    <w:link w:val="8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5">
    <w:name w:val="toc 1"/>
    <w:basedOn w:val="36"/>
    <w:next w:val="1"/>
    <w:qFormat/>
    <w:uiPriority w:val="39"/>
    <w:rPr>
      <w:rFonts w:eastAsia="黑体"/>
      <w:sz w:val="28"/>
    </w:rPr>
  </w:style>
  <w:style w:type="paragraph" w:styleId="36">
    <w:name w:val="index 1"/>
    <w:basedOn w:val="1"/>
    <w:next w:val="1"/>
    <w:qFormat/>
    <w:uiPriority w:val="99"/>
    <w:rPr>
      <w:rFonts w:ascii="Times New Roman" w:hAnsi="Times New Roman" w:eastAsia="仿宋_GB2312" w:cs="Times New Roman"/>
      <w:b/>
      <w:sz w:val="24"/>
      <w:szCs w:val="20"/>
    </w:rPr>
  </w:style>
  <w:style w:type="paragraph" w:styleId="37">
    <w:name w:val="List Continue 4"/>
    <w:basedOn w:val="1"/>
    <w:qFormat/>
    <w:uiPriority w:val="99"/>
    <w:pPr>
      <w:spacing w:after="120"/>
      <w:ind w:left="1680" w:leftChars="800"/>
    </w:pPr>
    <w:rPr>
      <w:rFonts w:ascii="Times New Roman" w:hAnsi="Times New Roman" w:eastAsia="宋体" w:cs="Times New Roman"/>
      <w:szCs w:val="21"/>
    </w:rPr>
  </w:style>
  <w:style w:type="paragraph" w:styleId="38">
    <w:name w:val="toc 4"/>
    <w:basedOn w:val="1"/>
    <w:next w:val="1"/>
    <w:qFormat/>
    <w:uiPriority w:val="99"/>
    <w:pPr>
      <w:ind w:left="1260" w:leftChars="600"/>
    </w:pPr>
    <w:rPr>
      <w:rFonts w:ascii="Times New Roman" w:hAnsi="Times New Roman" w:eastAsia="宋体" w:cs="Times New Roman"/>
      <w:szCs w:val="20"/>
    </w:rPr>
  </w:style>
  <w:style w:type="paragraph" w:styleId="39">
    <w:name w:val="Subtitle"/>
    <w:basedOn w:val="1"/>
    <w:next w:val="1"/>
    <w:link w:val="122"/>
    <w:qFormat/>
    <w:uiPriority w:val="99"/>
    <w:pPr>
      <w:spacing w:before="240" w:after="60" w:line="312" w:lineRule="auto"/>
      <w:jc w:val="center"/>
      <w:outlineLvl w:val="1"/>
    </w:pPr>
    <w:rPr>
      <w:rFonts w:ascii="Cambria" w:hAnsi="Cambria" w:eastAsia="宋体" w:cs="Times New Roman"/>
      <w:b/>
      <w:bCs/>
      <w:kern w:val="28"/>
      <w:szCs w:val="32"/>
    </w:rPr>
  </w:style>
  <w:style w:type="paragraph" w:styleId="40">
    <w:name w:val="List"/>
    <w:basedOn w:val="1"/>
    <w:qFormat/>
    <w:uiPriority w:val="99"/>
    <w:pPr>
      <w:ind w:left="420" w:hanging="420"/>
    </w:pPr>
    <w:rPr>
      <w:rFonts w:ascii="Arial" w:hAnsi="Arial" w:eastAsia="楷体_GB2312" w:cs="Times New Roman"/>
      <w:sz w:val="28"/>
      <w:szCs w:val="20"/>
    </w:rPr>
  </w:style>
  <w:style w:type="paragraph" w:styleId="41">
    <w:name w:val="toc 6"/>
    <w:basedOn w:val="1"/>
    <w:next w:val="1"/>
    <w:qFormat/>
    <w:uiPriority w:val="99"/>
    <w:pPr>
      <w:ind w:left="2100" w:leftChars="1000"/>
    </w:pPr>
    <w:rPr>
      <w:rFonts w:ascii="Times New Roman" w:hAnsi="Times New Roman" w:eastAsia="宋体" w:cs="Times New Roman"/>
      <w:szCs w:val="20"/>
    </w:rPr>
  </w:style>
  <w:style w:type="paragraph" w:styleId="42">
    <w:name w:val="Body Text Indent 3"/>
    <w:basedOn w:val="1"/>
    <w:link w:val="82"/>
    <w:qFormat/>
    <w:uiPriority w:val="99"/>
    <w:pPr>
      <w:ind w:left="2" w:firstLine="628" w:firstLineChars="196"/>
    </w:pPr>
    <w:rPr>
      <w:rFonts w:ascii="Arial" w:hAnsi="Arial" w:eastAsia="仿宋_GB2312" w:cs="Times New Roman"/>
      <w:b/>
      <w:sz w:val="32"/>
      <w:szCs w:val="20"/>
      <w:lang w:bidi="he-IL"/>
    </w:rPr>
  </w:style>
  <w:style w:type="paragraph" w:styleId="43">
    <w:name w:val="toc 2"/>
    <w:basedOn w:val="44"/>
    <w:next w:val="44"/>
    <w:qFormat/>
    <w:uiPriority w:val="39"/>
    <w:pPr>
      <w:ind w:left="420"/>
    </w:pPr>
    <w:rPr>
      <w:rFonts w:eastAsia="仿宋_GB2312"/>
      <w:b/>
      <w:sz w:val="24"/>
    </w:rPr>
  </w:style>
  <w:style w:type="paragraph" w:styleId="44">
    <w:name w:val="index 2"/>
    <w:basedOn w:val="1"/>
    <w:next w:val="1"/>
    <w:qFormat/>
    <w:uiPriority w:val="0"/>
    <w:pPr>
      <w:ind w:left="200" w:leftChars="200"/>
    </w:pPr>
    <w:rPr>
      <w:rFonts w:ascii="Times New Roman" w:hAnsi="Times New Roman" w:eastAsia="宋体" w:cs="Times New Roman"/>
      <w:szCs w:val="20"/>
    </w:rPr>
  </w:style>
  <w:style w:type="paragraph" w:styleId="45">
    <w:name w:val="toc 9"/>
    <w:basedOn w:val="1"/>
    <w:next w:val="1"/>
    <w:qFormat/>
    <w:uiPriority w:val="99"/>
    <w:pPr>
      <w:ind w:left="3360" w:leftChars="1600"/>
    </w:pPr>
    <w:rPr>
      <w:rFonts w:ascii="Times New Roman" w:hAnsi="Times New Roman" w:eastAsia="宋体" w:cs="Times New Roman"/>
      <w:szCs w:val="20"/>
    </w:rPr>
  </w:style>
  <w:style w:type="paragraph" w:styleId="46">
    <w:name w:val="Body Text 2"/>
    <w:basedOn w:val="1"/>
    <w:link w:val="129"/>
    <w:qFormat/>
    <w:uiPriority w:val="99"/>
    <w:pPr>
      <w:spacing w:line="360" w:lineRule="auto"/>
    </w:pPr>
    <w:rPr>
      <w:rFonts w:ascii="宋体" w:hAnsi="Times New Roman" w:eastAsia="宋体" w:cs="宋体"/>
      <w:spacing w:val="-20"/>
      <w:sz w:val="28"/>
      <w:szCs w:val="28"/>
    </w:rPr>
  </w:style>
  <w:style w:type="paragraph" w:styleId="47">
    <w:name w:val="List 4"/>
    <w:basedOn w:val="1"/>
    <w:qFormat/>
    <w:uiPriority w:val="99"/>
    <w:pPr>
      <w:ind w:left="100" w:leftChars="600" w:hanging="200" w:hangingChars="200"/>
    </w:pPr>
    <w:rPr>
      <w:rFonts w:ascii="Times New Roman" w:hAnsi="Times New Roman" w:eastAsia="宋体" w:cs="Times New Roman"/>
      <w:szCs w:val="21"/>
    </w:rPr>
  </w:style>
  <w:style w:type="paragraph" w:styleId="48">
    <w:name w:val="List Continue 2"/>
    <w:basedOn w:val="1"/>
    <w:qFormat/>
    <w:uiPriority w:val="99"/>
    <w:pPr>
      <w:spacing w:after="120"/>
      <w:ind w:left="840" w:leftChars="400"/>
    </w:pPr>
    <w:rPr>
      <w:rFonts w:ascii="Times New Roman" w:hAnsi="Times New Roman" w:eastAsia="宋体" w:cs="Times New Roman"/>
      <w:szCs w:val="21"/>
    </w:rPr>
  </w:style>
  <w:style w:type="paragraph" w:styleId="49">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styleId="5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51">
    <w:name w:val="Title"/>
    <w:basedOn w:val="1"/>
    <w:next w:val="1"/>
    <w:link w:val="125"/>
    <w:qFormat/>
    <w:uiPriority w:val="99"/>
    <w:pPr>
      <w:spacing w:before="240" w:after="60"/>
      <w:jc w:val="center"/>
      <w:outlineLvl w:val="0"/>
    </w:pPr>
    <w:rPr>
      <w:rFonts w:ascii="Cambria" w:hAnsi="Cambria" w:eastAsia="宋体" w:cs="Times New Roman"/>
      <w:b/>
      <w:bCs/>
      <w:sz w:val="32"/>
      <w:szCs w:val="32"/>
    </w:rPr>
  </w:style>
  <w:style w:type="character" w:styleId="53">
    <w:name w:val="Strong"/>
    <w:qFormat/>
    <w:uiPriority w:val="99"/>
    <w:rPr>
      <w:b/>
      <w:bCs/>
    </w:rPr>
  </w:style>
  <w:style w:type="character" w:styleId="54">
    <w:name w:val="page number"/>
    <w:basedOn w:val="52"/>
    <w:qFormat/>
    <w:uiPriority w:val="99"/>
  </w:style>
  <w:style w:type="character" w:styleId="55">
    <w:name w:val="FollowedHyperlink"/>
    <w:qFormat/>
    <w:uiPriority w:val="0"/>
    <w:rPr>
      <w:color w:val="800080"/>
      <w:u w:val="single"/>
    </w:rPr>
  </w:style>
  <w:style w:type="character" w:styleId="56">
    <w:name w:val="Emphasis"/>
    <w:qFormat/>
    <w:uiPriority w:val="99"/>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table" w:styleId="60">
    <w:name w:val="Table Grid"/>
    <w:basedOn w:val="59"/>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61">
    <w:name w:val="标题 1 Char"/>
    <w:basedOn w:val="52"/>
    <w:link w:val="2"/>
    <w:qFormat/>
    <w:uiPriority w:val="99"/>
    <w:rPr>
      <w:rFonts w:ascii="Arial" w:hAnsi="Arial" w:eastAsia="仿宋_GB2312" w:cs="Times New Roman"/>
      <w:sz w:val="28"/>
      <w:szCs w:val="20"/>
      <w:lang w:bidi="he-IL"/>
    </w:rPr>
  </w:style>
  <w:style w:type="character" w:customStyle="1" w:styleId="62">
    <w:name w:val="标题 2 Char"/>
    <w:basedOn w:val="52"/>
    <w:link w:val="3"/>
    <w:qFormat/>
    <w:uiPriority w:val="99"/>
    <w:rPr>
      <w:rFonts w:ascii="Arial" w:hAnsi="Arial" w:eastAsia="黑体" w:cs="Times New Roman"/>
      <w:b/>
      <w:bCs/>
      <w:sz w:val="32"/>
      <w:szCs w:val="32"/>
    </w:rPr>
  </w:style>
  <w:style w:type="character" w:customStyle="1" w:styleId="63">
    <w:name w:val="标题 3 Char"/>
    <w:basedOn w:val="52"/>
    <w:link w:val="4"/>
    <w:qFormat/>
    <w:uiPriority w:val="99"/>
    <w:rPr>
      <w:rFonts w:ascii="Times New Roman" w:hAnsi="Times New Roman" w:eastAsia="宋体" w:cs="Times New Roman"/>
      <w:b/>
      <w:bCs/>
      <w:sz w:val="32"/>
      <w:szCs w:val="32"/>
    </w:rPr>
  </w:style>
  <w:style w:type="character" w:customStyle="1" w:styleId="64">
    <w:name w:val="标题 4 Char"/>
    <w:basedOn w:val="52"/>
    <w:link w:val="5"/>
    <w:qFormat/>
    <w:uiPriority w:val="99"/>
    <w:rPr>
      <w:rFonts w:ascii="Arial" w:hAnsi="Arial" w:eastAsia="黑体" w:cs="Times New Roman"/>
      <w:b/>
      <w:bCs/>
      <w:sz w:val="28"/>
      <w:szCs w:val="28"/>
    </w:rPr>
  </w:style>
  <w:style w:type="character" w:customStyle="1" w:styleId="65">
    <w:name w:val="标题 5 Char"/>
    <w:basedOn w:val="52"/>
    <w:link w:val="6"/>
    <w:qFormat/>
    <w:uiPriority w:val="99"/>
    <w:rPr>
      <w:rFonts w:ascii="Times New Roman" w:hAnsi="Times New Roman" w:eastAsia="宋体" w:cs="Times New Roman"/>
      <w:b/>
      <w:bCs/>
      <w:sz w:val="28"/>
      <w:szCs w:val="28"/>
    </w:rPr>
  </w:style>
  <w:style w:type="character" w:customStyle="1" w:styleId="66">
    <w:name w:val="标题 6 Char"/>
    <w:basedOn w:val="52"/>
    <w:link w:val="7"/>
    <w:qFormat/>
    <w:uiPriority w:val="99"/>
    <w:rPr>
      <w:rFonts w:ascii="Arial" w:hAnsi="Arial" w:eastAsia="黑体" w:cs="Arial"/>
      <w:b/>
      <w:bCs/>
      <w:kern w:val="0"/>
      <w:sz w:val="24"/>
      <w:szCs w:val="24"/>
    </w:rPr>
  </w:style>
  <w:style w:type="character" w:customStyle="1" w:styleId="67">
    <w:name w:val="标题 7 Char"/>
    <w:basedOn w:val="52"/>
    <w:link w:val="8"/>
    <w:qFormat/>
    <w:uiPriority w:val="99"/>
    <w:rPr>
      <w:rFonts w:ascii="Times New Roman" w:hAnsi="Times New Roman" w:eastAsia="宋体" w:cs="Times New Roman"/>
      <w:b/>
      <w:bCs/>
      <w:kern w:val="0"/>
      <w:sz w:val="24"/>
      <w:szCs w:val="24"/>
    </w:rPr>
  </w:style>
  <w:style w:type="character" w:customStyle="1" w:styleId="68">
    <w:name w:val="标题 8 Char"/>
    <w:basedOn w:val="52"/>
    <w:link w:val="9"/>
    <w:qFormat/>
    <w:uiPriority w:val="99"/>
    <w:rPr>
      <w:rFonts w:ascii="Arial" w:hAnsi="Arial" w:eastAsia="黑体" w:cs="Arial"/>
      <w:kern w:val="0"/>
      <w:sz w:val="24"/>
      <w:szCs w:val="24"/>
    </w:rPr>
  </w:style>
  <w:style w:type="character" w:customStyle="1" w:styleId="69">
    <w:name w:val="标题 9 Char"/>
    <w:basedOn w:val="52"/>
    <w:link w:val="10"/>
    <w:qFormat/>
    <w:uiPriority w:val="99"/>
    <w:rPr>
      <w:rFonts w:ascii="Arial" w:hAnsi="Arial" w:eastAsia="黑体" w:cs="Arial"/>
      <w:kern w:val="0"/>
      <w:szCs w:val="21"/>
    </w:rPr>
  </w:style>
  <w:style w:type="character" w:customStyle="1" w:styleId="70">
    <w:name w:val="封面日期 Char Char"/>
    <w:qFormat/>
    <w:uiPriority w:val="0"/>
    <w:rPr>
      <w:rFonts w:ascii="仿宋_GB2312" w:eastAsia="仿宋_GB2312"/>
      <w:kern w:val="2"/>
      <w:sz w:val="30"/>
      <w:lang w:val="en-US" w:eastAsia="zh-CN" w:bidi="he-IL"/>
    </w:rPr>
  </w:style>
  <w:style w:type="character" w:customStyle="1" w:styleId="71">
    <w:name w:val="Char Char2"/>
    <w:qFormat/>
    <w:uiPriority w:val="0"/>
    <w:rPr>
      <w:rFonts w:eastAsia="宋体"/>
      <w:sz w:val="24"/>
      <w:lang w:val="en-US" w:eastAsia="zh-CN" w:bidi="ar-SA"/>
    </w:rPr>
  </w:style>
  <w:style w:type="character" w:customStyle="1" w:styleId="72">
    <w:name w:val="正文首行缩进 Char"/>
    <w:link w:val="15"/>
    <w:qFormat/>
    <w:uiPriority w:val="0"/>
    <w:rPr>
      <w:rFonts w:eastAsia="宋体"/>
    </w:rPr>
  </w:style>
  <w:style w:type="character" w:customStyle="1" w:styleId="73">
    <w:name w:val="正文文本 Char1"/>
    <w:link w:val="16"/>
    <w:qFormat/>
    <w:uiPriority w:val="99"/>
    <w:rPr>
      <w:rFonts w:ascii="Arial" w:hAnsi="Arial" w:eastAsia="黑体"/>
      <w:b/>
      <w:sz w:val="32"/>
    </w:rPr>
  </w:style>
  <w:style w:type="character" w:customStyle="1" w:styleId="74">
    <w:name w:val="HTML 预设格式 Char"/>
    <w:link w:val="49"/>
    <w:qFormat/>
    <w:uiPriority w:val="0"/>
    <w:rPr>
      <w:rFonts w:ascii="宋体" w:hAnsi="宋体" w:eastAsia="宋体" w:cs="宋体"/>
      <w:sz w:val="24"/>
      <w:szCs w:val="24"/>
    </w:rPr>
  </w:style>
  <w:style w:type="character" w:customStyle="1" w:styleId="75">
    <w:name w:val="正文缩进 Char"/>
    <w:link w:val="17"/>
    <w:qFormat/>
    <w:uiPriority w:val="0"/>
    <w:rPr>
      <w:rFonts w:eastAsia="宋体"/>
      <w:sz w:val="24"/>
    </w:rPr>
  </w:style>
  <w:style w:type="character" w:customStyle="1" w:styleId="76">
    <w:name w:val="正文文本 Char"/>
    <w:qFormat/>
    <w:uiPriority w:val="99"/>
    <w:rPr>
      <w:rFonts w:ascii="Arial" w:hAnsi="Arial" w:eastAsia="黑体"/>
      <w:b/>
      <w:kern w:val="2"/>
      <w:sz w:val="32"/>
      <w:lang w:val="en-US" w:eastAsia="zh-CN" w:bidi="ar-SA"/>
    </w:rPr>
  </w:style>
  <w:style w:type="character" w:customStyle="1" w:styleId="77">
    <w:name w:val="font01"/>
    <w:qFormat/>
    <w:uiPriority w:val="0"/>
    <w:rPr>
      <w:rFonts w:hint="eastAsia" w:ascii="华文细黑" w:eastAsia="华文细黑"/>
      <w:color w:val="000000"/>
      <w:sz w:val="20"/>
      <w:szCs w:val="20"/>
      <w:u w:val="none"/>
    </w:rPr>
  </w:style>
  <w:style w:type="character" w:customStyle="1" w:styleId="78">
    <w:name w:val="日期 Char"/>
    <w:link w:val="30"/>
    <w:qFormat/>
    <w:uiPriority w:val="99"/>
    <w:rPr>
      <w:rFonts w:ascii="仿宋_GB2312" w:eastAsia="仿宋_GB2312"/>
      <w:sz w:val="30"/>
      <w:lang w:bidi="he-IL"/>
    </w:rPr>
  </w:style>
  <w:style w:type="character" w:customStyle="1" w:styleId="79">
    <w:name w:val="批注框文本 Char"/>
    <w:link w:val="32"/>
    <w:qFormat/>
    <w:uiPriority w:val="99"/>
    <w:rPr>
      <w:rFonts w:eastAsia="宋体"/>
      <w:sz w:val="18"/>
      <w:szCs w:val="18"/>
    </w:rPr>
  </w:style>
  <w:style w:type="character" w:customStyle="1" w:styleId="80">
    <w:name w:val="纯文本 Char"/>
    <w:link w:val="28"/>
    <w:qFormat/>
    <w:uiPriority w:val="99"/>
    <w:rPr>
      <w:rFonts w:ascii="宋体" w:hAnsi="Courier New" w:eastAsia="宋体"/>
    </w:rPr>
  </w:style>
  <w:style w:type="character" w:customStyle="1" w:styleId="81">
    <w:name w:val="纯文本 Char1"/>
    <w:basedOn w:val="52"/>
    <w:link w:val="28"/>
    <w:semiHidden/>
    <w:qFormat/>
    <w:uiPriority w:val="99"/>
    <w:rPr>
      <w:rFonts w:ascii="宋体" w:hAnsi="Courier New" w:eastAsia="宋体" w:cs="Courier New"/>
      <w:szCs w:val="21"/>
    </w:rPr>
  </w:style>
  <w:style w:type="character" w:customStyle="1" w:styleId="82">
    <w:name w:val="正文文本缩进 3 Char"/>
    <w:basedOn w:val="52"/>
    <w:link w:val="42"/>
    <w:qFormat/>
    <w:uiPriority w:val="99"/>
    <w:rPr>
      <w:rFonts w:ascii="Arial" w:hAnsi="Arial" w:eastAsia="仿宋_GB2312" w:cs="Times New Roman"/>
      <w:b/>
      <w:sz w:val="32"/>
      <w:szCs w:val="20"/>
      <w:lang w:bidi="he-IL"/>
    </w:rPr>
  </w:style>
  <w:style w:type="character" w:customStyle="1" w:styleId="83">
    <w:name w:val="页眉 Char"/>
    <w:basedOn w:val="52"/>
    <w:link w:val="34"/>
    <w:qFormat/>
    <w:uiPriority w:val="99"/>
    <w:rPr>
      <w:rFonts w:ascii="Times New Roman" w:hAnsi="Times New Roman" w:eastAsia="宋体" w:cs="Times New Roman"/>
      <w:sz w:val="18"/>
      <w:szCs w:val="18"/>
    </w:rPr>
  </w:style>
  <w:style w:type="character" w:customStyle="1" w:styleId="84">
    <w:name w:val="批注框文本 Char1"/>
    <w:basedOn w:val="52"/>
    <w:link w:val="32"/>
    <w:qFormat/>
    <w:uiPriority w:val="99"/>
    <w:rPr>
      <w:sz w:val="18"/>
      <w:szCs w:val="18"/>
    </w:rPr>
  </w:style>
  <w:style w:type="character" w:customStyle="1" w:styleId="85">
    <w:name w:val="日期 Char1"/>
    <w:basedOn w:val="52"/>
    <w:link w:val="30"/>
    <w:qFormat/>
    <w:uiPriority w:val="99"/>
  </w:style>
  <w:style w:type="character" w:customStyle="1" w:styleId="86">
    <w:name w:val="正文文本 Char2"/>
    <w:basedOn w:val="52"/>
    <w:link w:val="16"/>
    <w:semiHidden/>
    <w:qFormat/>
    <w:uiPriority w:val="99"/>
  </w:style>
  <w:style w:type="character" w:customStyle="1" w:styleId="87">
    <w:name w:val="HTML 预设格式 Char1"/>
    <w:basedOn w:val="52"/>
    <w:link w:val="49"/>
    <w:semiHidden/>
    <w:qFormat/>
    <w:uiPriority w:val="99"/>
    <w:rPr>
      <w:rFonts w:ascii="Courier New" w:hAnsi="Courier New" w:cs="Courier New"/>
      <w:sz w:val="20"/>
      <w:szCs w:val="20"/>
    </w:rPr>
  </w:style>
  <w:style w:type="character" w:customStyle="1" w:styleId="88">
    <w:name w:val="正文首行缩进 Char1"/>
    <w:basedOn w:val="86"/>
    <w:link w:val="15"/>
    <w:semiHidden/>
    <w:qFormat/>
    <w:uiPriority w:val="99"/>
  </w:style>
  <w:style w:type="character" w:customStyle="1" w:styleId="89">
    <w:name w:val="页脚 Char"/>
    <w:basedOn w:val="52"/>
    <w:link w:val="33"/>
    <w:qFormat/>
    <w:uiPriority w:val="99"/>
    <w:rPr>
      <w:rFonts w:ascii="Times New Roman" w:hAnsi="Times New Roman" w:eastAsia="宋体" w:cs="Times New Roman"/>
      <w:sz w:val="18"/>
      <w:szCs w:val="20"/>
      <w:lang w:bidi="he-IL"/>
    </w:rPr>
  </w:style>
  <w:style w:type="character" w:customStyle="1" w:styleId="90">
    <w:name w:val="正文文本缩进 2 Char"/>
    <w:basedOn w:val="52"/>
    <w:link w:val="31"/>
    <w:qFormat/>
    <w:uiPriority w:val="99"/>
    <w:rPr>
      <w:rFonts w:ascii="Arial" w:hAnsi="Arial" w:eastAsia="仿宋_GB2312" w:cs="Times New Roman"/>
      <w:b/>
      <w:sz w:val="28"/>
      <w:szCs w:val="20"/>
    </w:rPr>
  </w:style>
  <w:style w:type="character" w:customStyle="1" w:styleId="91">
    <w:name w:val="正文文本缩进 Char"/>
    <w:basedOn w:val="52"/>
    <w:link w:val="22"/>
    <w:qFormat/>
    <w:uiPriority w:val="99"/>
    <w:rPr>
      <w:rFonts w:ascii="Arial" w:hAnsi="Arial" w:eastAsia="仿宋_GB2312" w:cs="Times New Roman"/>
      <w:sz w:val="28"/>
      <w:szCs w:val="20"/>
    </w:rPr>
  </w:style>
  <w:style w:type="paragraph" w:customStyle="1" w:styleId="92">
    <w:name w:val="Char Char"/>
    <w:basedOn w:val="1"/>
    <w:qFormat/>
    <w:uiPriority w:val="0"/>
    <w:rPr>
      <w:rFonts w:ascii="Tahoma" w:hAnsi="Tahoma" w:eastAsia="仿宋_GB2312" w:cs="Times New Roman"/>
      <w:sz w:val="24"/>
      <w:szCs w:val="20"/>
    </w:rPr>
  </w:style>
  <w:style w:type="paragraph" w:customStyle="1" w:styleId="93">
    <w:name w:val="样式 样式 样式 样式 样式 样式 样式 样式 样式 样式 标题 2 + 段前: 1 行 段后: 0.5 行 + 段前: 1 行..."/>
    <w:basedOn w:val="1"/>
    <w:next w:val="17"/>
    <w:qFormat/>
    <w:uiPriority w:val="0"/>
    <w:pPr>
      <w:keepNext/>
      <w:tabs>
        <w:tab w:val="left" w:pos="630"/>
        <w:tab w:val="left" w:pos="1287"/>
      </w:tabs>
      <w:spacing w:before="312" w:after="156"/>
      <w:ind w:left="645" w:hanging="480"/>
      <w:outlineLvl w:val="1"/>
    </w:pPr>
    <w:rPr>
      <w:rFonts w:ascii="Times New Roman" w:hAnsi="Times New Roman" w:eastAsia="宋体" w:cs="宋体"/>
      <w:b/>
      <w:bCs/>
      <w:sz w:val="28"/>
      <w:szCs w:val="20"/>
    </w:rPr>
  </w:style>
  <w:style w:type="paragraph" w:customStyle="1" w:styleId="94">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95">
    <w:name w:val="样式 样式 Comment + 自动设置 Char Char Char + 首行缩进:  2 字符"/>
    <w:basedOn w:val="1"/>
    <w:qFormat/>
    <w:uiPriority w:val="0"/>
    <w:pPr>
      <w:widowControl/>
      <w:spacing w:after="120"/>
      <w:ind w:firstLine="440" w:firstLineChars="200"/>
    </w:pPr>
    <w:rPr>
      <w:rFonts w:ascii="Arial" w:hAnsi="Arial" w:eastAsia="宋体" w:cs="宋体"/>
      <w:kern w:val="0"/>
      <w:sz w:val="24"/>
      <w:szCs w:val="24"/>
    </w:rPr>
  </w:style>
  <w:style w:type="paragraph" w:customStyle="1" w:styleId="96">
    <w:name w:val="Char Char Char Char Char Char Char"/>
    <w:basedOn w:val="1"/>
    <w:qFormat/>
    <w:uiPriority w:val="0"/>
    <w:pPr>
      <w:tabs>
        <w:tab w:val="left" w:pos="432"/>
      </w:tabs>
      <w:ind w:left="432" w:hanging="432"/>
    </w:pPr>
    <w:rPr>
      <w:rFonts w:ascii="Times New Roman" w:hAnsi="Times New Roman" w:eastAsia="宋体" w:cs="Times New Roman"/>
      <w:color w:val="000000"/>
      <w:kern w:val="0"/>
      <w:szCs w:val="20"/>
      <w:u w:color="000000"/>
    </w:rPr>
  </w:style>
  <w:style w:type="paragraph" w:customStyle="1" w:styleId="97">
    <w:name w:val="样式 样式 Comment + + 两端对齐 首行缩进:  2 字符"/>
    <w:basedOn w:val="1"/>
    <w:qFormat/>
    <w:uiPriority w:val="0"/>
    <w:pPr>
      <w:widowControl/>
      <w:spacing w:after="120"/>
      <w:ind w:firstLine="420" w:firstLineChars="200"/>
    </w:pPr>
    <w:rPr>
      <w:rFonts w:eastAsia="宋体" w:cs="宋体"/>
      <w:kern w:val="0"/>
      <w:sz w:val="24"/>
      <w:szCs w:val="20"/>
    </w:rPr>
  </w:style>
  <w:style w:type="paragraph" w:customStyle="1" w:styleId="98">
    <w:name w:val="样式 行距: 1.5 倍行距 左  3.42 字符"/>
    <w:basedOn w:val="1"/>
    <w:qFormat/>
    <w:uiPriority w:val="0"/>
    <w:pPr>
      <w:spacing w:line="360" w:lineRule="auto"/>
      <w:ind w:left="200" w:leftChars="200" w:firstLine="200" w:firstLineChars="200"/>
    </w:pPr>
    <w:rPr>
      <w:rFonts w:ascii="Times New Roman" w:hAnsi="Times New Roman" w:eastAsia="宋体" w:cs="Times New Roman"/>
      <w:szCs w:val="20"/>
    </w:rPr>
  </w:style>
  <w:style w:type="paragraph" w:customStyle="1" w:styleId="99">
    <w:name w:val="样式1"/>
    <w:basedOn w:val="5"/>
    <w:qFormat/>
    <w:uiPriority w:val="99"/>
    <w:pPr>
      <w:spacing w:line="300" w:lineRule="exact"/>
    </w:pPr>
    <w:rPr>
      <w:rFonts w:ascii="Times New Roman" w:hAnsi="Times New Roman" w:eastAsia="宋体"/>
      <w:sz w:val="24"/>
    </w:rPr>
  </w:style>
  <w:style w:type="paragraph" w:customStyle="1" w:styleId="100">
    <w:name w:val="正文文字2"/>
    <w:basedOn w:val="16"/>
    <w:qFormat/>
    <w:uiPriority w:val="0"/>
    <w:pPr>
      <w:adjustRightInd w:val="0"/>
      <w:spacing w:after="60" w:line="360" w:lineRule="atLeast"/>
      <w:ind w:left="72" w:leftChars="30" w:right="72" w:rightChars="30"/>
      <w:jc w:val="center"/>
      <w:textAlignment w:val="baseline"/>
    </w:pPr>
    <w:rPr>
      <w:rFonts w:hAnsi="Times New Roman"/>
      <w:b w:val="0"/>
      <w:kern w:val="0"/>
      <w:sz w:val="21"/>
    </w:rPr>
  </w:style>
  <w:style w:type="paragraph" w:customStyle="1" w:styleId="101">
    <w:name w:val="Char"/>
    <w:basedOn w:val="1"/>
    <w:qFormat/>
    <w:uiPriority w:val="99"/>
    <w:pPr>
      <w:tabs>
        <w:tab w:val="left" w:pos="360"/>
      </w:tabs>
    </w:pPr>
    <w:rPr>
      <w:rFonts w:ascii="Times New Roman" w:hAnsi="Times New Roman" w:eastAsia="宋体" w:cs="Times New Roman"/>
      <w:szCs w:val="20"/>
    </w:rPr>
  </w:style>
  <w:style w:type="paragraph" w:customStyle="1" w:styleId="102">
    <w:name w:val="正文文本缩进 31"/>
    <w:basedOn w:val="1"/>
    <w:qFormat/>
    <w:uiPriority w:val="0"/>
    <w:pPr>
      <w:adjustRightInd w:val="0"/>
      <w:ind w:left="2" w:firstLine="628"/>
      <w:jc w:val="left"/>
      <w:textAlignment w:val="baseline"/>
    </w:pPr>
    <w:rPr>
      <w:rFonts w:ascii="Arial" w:hAnsi="Arial" w:eastAsia="仿宋_GB2312" w:cs="Times New Roman"/>
      <w:b/>
      <w:sz w:val="32"/>
      <w:szCs w:val="20"/>
    </w:rPr>
  </w:style>
  <w:style w:type="paragraph" w:customStyle="1" w:styleId="103">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04">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styleId="105">
    <w:name w:val="List Paragraph"/>
    <w:basedOn w:val="1"/>
    <w:qFormat/>
    <w:uiPriority w:val="99"/>
    <w:pPr>
      <w:ind w:firstLine="420" w:firstLineChars="200"/>
    </w:pPr>
    <w:rPr>
      <w:rFonts w:ascii="Calibri" w:hAnsi="Calibri" w:eastAsia="宋体" w:cs="Times New Roman"/>
    </w:rPr>
  </w:style>
  <w:style w:type="paragraph" w:customStyle="1" w:styleId="106">
    <w:name w:val="正文段"/>
    <w:basedOn w:val="1"/>
    <w:qFormat/>
    <w:uiPriority w:val="0"/>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07">
    <w:name w:val="样式 标题 1 + 段后: 0.5 行"/>
    <w:basedOn w:val="2"/>
    <w:next w:val="15"/>
    <w:qFormat/>
    <w:uiPriority w:val="0"/>
    <w:pPr>
      <w:keepNext w:val="0"/>
      <w:pageBreakBefore/>
      <w:numPr>
        <w:numId w:val="0"/>
      </w:numPr>
      <w:tabs>
        <w:tab w:val="left" w:pos="425"/>
      </w:tabs>
      <w:spacing w:beforeLines="100" w:after="156"/>
      <w:ind w:left="645" w:hanging="480"/>
    </w:pPr>
    <w:rPr>
      <w:rFonts w:ascii="Times New Roman" w:hAnsi="Times New Roman" w:eastAsia="宋体" w:cs="宋体"/>
      <w:b/>
      <w:bCs/>
      <w:sz w:val="32"/>
      <w:lang w:bidi="ar-SA"/>
    </w:rPr>
  </w:style>
  <w:style w:type="paragraph" w:customStyle="1" w:styleId="108">
    <w:name w:val="p0"/>
    <w:basedOn w:val="1"/>
    <w:qFormat/>
    <w:uiPriority w:val="99"/>
    <w:pPr>
      <w:widowControl/>
    </w:pPr>
    <w:rPr>
      <w:rFonts w:ascii="Times New Roman" w:hAnsi="Times New Roman" w:eastAsia="宋体" w:cs="Times New Roman"/>
      <w:kern w:val="0"/>
      <w:szCs w:val="21"/>
    </w:rPr>
  </w:style>
  <w:style w:type="character" w:customStyle="1" w:styleId="109">
    <w:name w:val="文档结构图 Char"/>
    <w:basedOn w:val="52"/>
    <w:link w:val="19"/>
    <w:qFormat/>
    <w:uiPriority w:val="99"/>
    <w:rPr>
      <w:rFonts w:ascii="宋体" w:hAnsi="Times New Roman" w:eastAsia="宋体" w:cs="Times New Roman"/>
      <w:sz w:val="18"/>
      <w:szCs w:val="18"/>
    </w:rPr>
  </w:style>
  <w:style w:type="character" w:customStyle="1" w:styleId="110">
    <w:name w:val="批注文字 Char"/>
    <w:link w:val="13"/>
    <w:qFormat/>
    <w:uiPriority w:val="99"/>
    <w:rPr>
      <w:szCs w:val="24"/>
    </w:rPr>
  </w:style>
  <w:style w:type="character" w:customStyle="1" w:styleId="111">
    <w:name w:val="批注文字 Char1"/>
    <w:basedOn w:val="52"/>
    <w:link w:val="13"/>
    <w:qFormat/>
    <w:uiPriority w:val="99"/>
  </w:style>
  <w:style w:type="character" w:customStyle="1" w:styleId="112">
    <w:name w:val="GW-正文 Char"/>
    <w:link w:val="113"/>
    <w:qFormat/>
    <w:uiPriority w:val="0"/>
    <w:rPr>
      <w:szCs w:val="24"/>
    </w:rPr>
  </w:style>
  <w:style w:type="paragraph" w:customStyle="1" w:styleId="113">
    <w:name w:val="GW-正文"/>
    <w:basedOn w:val="1"/>
    <w:link w:val="112"/>
    <w:qFormat/>
    <w:uiPriority w:val="0"/>
    <w:pPr>
      <w:spacing w:line="360" w:lineRule="auto"/>
      <w:ind w:firstLine="200" w:firstLineChars="200"/>
      <w:contextualSpacing/>
    </w:pPr>
    <w:rPr>
      <w:szCs w:val="24"/>
    </w:rPr>
  </w:style>
  <w:style w:type="paragraph" w:customStyle="1" w:styleId="114">
    <w:name w:val="D&amp;L"/>
    <w:basedOn w:val="3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115">
    <w:name w:val="批注主题 Char"/>
    <w:basedOn w:val="111"/>
    <w:link w:val="12"/>
    <w:qFormat/>
    <w:uiPriority w:val="99"/>
    <w:rPr>
      <w:b/>
      <w:bCs/>
      <w:szCs w:val="20"/>
    </w:rPr>
  </w:style>
  <w:style w:type="paragraph" w:customStyle="1" w:styleId="116">
    <w:name w:val="H1"/>
    <w:basedOn w:val="3"/>
    <w:next w:val="113"/>
    <w:qFormat/>
    <w:uiPriority w:val="0"/>
    <w:pPr>
      <w:spacing w:line="600" w:lineRule="exact"/>
      <w:jc w:val="center"/>
    </w:pPr>
    <w:rPr>
      <w:rFonts w:ascii="宋体" w:hAnsi="宋体"/>
      <w:color w:val="000000"/>
      <w:szCs w:val="21"/>
    </w:rPr>
  </w:style>
  <w:style w:type="paragraph" w:customStyle="1" w:styleId="117">
    <w:name w:val="H2"/>
    <w:basedOn w:val="4"/>
    <w:next w:val="113"/>
    <w:qFormat/>
    <w:uiPriority w:val="0"/>
    <w:pPr>
      <w:keepNext w:val="0"/>
      <w:keepLines w:val="0"/>
      <w:spacing w:before="0" w:after="0" w:line="360" w:lineRule="auto"/>
      <w:jc w:val="center"/>
    </w:pPr>
    <w:rPr>
      <w:rFonts w:ascii="宋体" w:hAnsi="宋体" w:cs="Arial"/>
      <w:color w:val="000000"/>
      <w:sz w:val="21"/>
      <w:szCs w:val="21"/>
    </w:rPr>
  </w:style>
  <w:style w:type="paragraph" w:customStyle="1" w:styleId="118">
    <w:name w:val="TOC Heading"/>
    <w:basedOn w:val="2"/>
    <w:next w:val="1"/>
    <w:unhideWhenUsed/>
    <w:qFormat/>
    <w:uiPriority w:val="99"/>
    <w:pPr>
      <w:keepLines/>
      <w:widowControl/>
      <w:numPr>
        <w:numId w:val="0"/>
      </w:numPr>
      <w:spacing w:before="240" w:line="259" w:lineRule="auto"/>
      <w:jc w:val="left"/>
      <w:outlineLvl w:val="9"/>
    </w:pPr>
    <w:rPr>
      <w:rFonts w:ascii="Calibri Light" w:hAnsi="Calibri Light" w:eastAsia="宋体"/>
      <w:color w:val="2E74B5"/>
      <w:kern w:val="0"/>
      <w:sz w:val="32"/>
      <w:szCs w:val="32"/>
      <w:lang w:bidi="ar-SA"/>
    </w:rPr>
  </w:style>
  <w:style w:type="paragraph" w:customStyle="1" w:styleId="119">
    <w:name w:val="font7"/>
    <w:basedOn w:val="1"/>
    <w:qFormat/>
    <w:uiPriority w:val="0"/>
    <w:pPr>
      <w:widowControl/>
      <w:spacing w:before="100" w:beforeAutospacing="1" w:after="100" w:afterAutospacing="1"/>
      <w:jc w:val="left"/>
    </w:pPr>
    <w:rPr>
      <w:rFonts w:hint="eastAsia" w:ascii="幼圆" w:hAnsi="宋体" w:eastAsia="幼圆" w:cs="Times New Roman"/>
      <w:kern w:val="0"/>
      <w:sz w:val="32"/>
      <w:szCs w:val="32"/>
    </w:rPr>
  </w:style>
  <w:style w:type="character" w:customStyle="1" w:styleId="120">
    <w:name w:val="fontstyle01"/>
    <w:qFormat/>
    <w:uiPriority w:val="0"/>
    <w:rPr>
      <w:rFonts w:hint="eastAsia" w:ascii="宋体" w:hAnsi="宋体" w:eastAsia="宋体"/>
      <w:color w:val="000000"/>
      <w:sz w:val="24"/>
      <w:szCs w:val="24"/>
    </w:rPr>
  </w:style>
  <w:style w:type="character" w:customStyle="1" w:styleId="121">
    <w:name w:val="批注文字 字符"/>
    <w:semiHidden/>
    <w:qFormat/>
    <w:uiPriority w:val="99"/>
  </w:style>
  <w:style w:type="character" w:customStyle="1" w:styleId="122">
    <w:name w:val="副标题 Char"/>
    <w:basedOn w:val="52"/>
    <w:link w:val="39"/>
    <w:qFormat/>
    <w:uiPriority w:val="99"/>
    <w:rPr>
      <w:rFonts w:ascii="Cambria" w:hAnsi="Cambria" w:eastAsia="宋体" w:cs="Times New Roman"/>
      <w:b/>
      <w:bCs/>
      <w:kern w:val="28"/>
      <w:szCs w:val="32"/>
    </w:rPr>
  </w:style>
  <w:style w:type="paragraph" w:customStyle="1" w:styleId="123">
    <w:name w:val="章标题"/>
    <w:basedOn w:val="1"/>
    <w:link w:val="124"/>
    <w:qFormat/>
    <w:uiPriority w:val="0"/>
    <w:pPr>
      <w:spacing w:line="600" w:lineRule="exact"/>
      <w:jc w:val="center"/>
    </w:pPr>
    <w:rPr>
      <w:rFonts w:ascii="宋体" w:hAnsi="宋体" w:eastAsia="黑体" w:cs="Times New Roman"/>
      <w:b/>
      <w:bCs/>
      <w:sz w:val="28"/>
      <w:szCs w:val="21"/>
    </w:rPr>
  </w:style>
  <w:style w:type="character" w:customStyle="1" w:styleId="124">
    <w:name w:val="章标题 Char"/>
    <w:link w:val="123"/>
    <w:qFormat/>
    <w:uiPriority w:val="0"/>
    <w:rPr>
      <w:rFonts w:ascii="宋体" w:hAnsi="宋体" w:eastAsia="黑体" w:cs="Times New Roman"/>
      <w:b/>
      <w:bCs/>
      <w:sz w:val="28"/>
      <w:szCs w:val="21"/>
    </w:rPr>
  </w:style>
  <w:style w:type="character" w:customStyle="1" w:styleId="125">
    <w:name w:val="标题 Char"/>
    <w:basedOn w:val="52"/>
    <w:link w:val="51"/>
    <w:qFormat/>
    <w:uiPriority w:val="99"/>
    <w:rPr>
      <w:rFonts w:ascii="Cambria" w:hAnsi="Cambria" w:eastAsia="宋体" w:cs="Times New Roman"/>
      <w:b/>
      <w:bCs/>
      <w:sz w:val="32"/>
      <w:szCs w:val="32"/>
    </w:rPr>
  </w:style>
  <w:style w:type="character" w:customStyle="1" w:styleId="126">
    <w:name w:val="称呼 Char"/>
    <w:basedOn w:val="52"/>
    <w:link w:val="20"/>
    <w:qFormat/>
    <w:uiPriority w:val="99"/>
    <w:rPr>
      <w:rFonts w:ascii="仿宋_GB2312" w:hAnsi="Times New Roman" w:eastAsia="仿宋_GB2312" w:cs="仿宋_GB2312"/>
      <w:sz w:val="28"/>
      <w:szCs w:val="28"/>
    </w:rPr>
  </w:style>
  <w:style w:type="character" w:customStyle="1" w:styleId="127">
    <w:name w:val="正文文本 3 Char"/>
    <w:basedOn w:val="52"/>
    <w:link w:val="21"/>
    <w:qFormat/>
    <w:uiPriority w:val="99"/>
    <w:rPr>
      <w:rFonts w:ascii="仿宋_GB2312" w:hAnsi="宋体" w:eastAsia="仿宋_GB2312" w:cs="仿宋_GB2312"/>
      <w:color w:val="000000"/>
      <w:sz w:val="24"/>
      <w:szCs w:val="24"/>
    </w:rPr>
  </w:style>
  <w:style w:type="character" w:customStyle="1" w:styleId="128">
    <w:name w:val="副标题 Char1"/>
    <w:basedOn w:val="52"/>
    <w:qFormat/>
    <w:locked/>
    <w:uiPriority w:val="99"/>
    <w:rPr>
      <w:rFonts w:ascii="Calibri Light" w:hAnsi="Calibri Light" w:eastAsia="宋体" w:cs="Calibri Light"/>
      <w:b/>
      <w:bCs/>
      <w:kern w:val="28"/>
      <w:sz w:val="32"/>
      <w:szCs w:val="32"/>
      <w:lang w:val="en-US" w:eastAsia="zh-CN"/>
    </w:rPr>
  </w:style>
  <w:style w:type="character" w:customStyle="1" w:styleId="129">
    <w:name w:val="正文文本 2 Char"/>
    <w:basedOn w:val="52"/>
    <w:link w:val="46"/>
    <w:qFormat/>
    <w:uiPriority w:val="99"/>
    <w:rPr>
      <w:rFonts w:ascii="宋体" w:hAnsi="Times New Roman" w:eastAsia="宋体" w:cs="宋体"/>
      <w:spacing w:val="-20"/>
      <w:sz w:val="28"/>
      <w:szCs w:val="28"/>
    </w:rPr>
  </w:style>
  <w:style w:type="character" w:customStyle="1" w:styleId="130">
    <w:name w:val="已访问的超链接1"/>
    <w:qFormat/>
    <w:uiPriority w:val="99"/>
    <w:rPr>
      <w:color w:val="800080"/>
      <w:u w:val="single"/>
    </w:rPr>
  </w:style>
  <w:style w:type="character" w:customStyle="1" w:styleId="131">
    <w:name w:val="tdrownotice1"/>
    <w:qFormat/>
    <w:uiPriority w:val="99"/>
    <w:rPr>
      <w:sz w:val="22"/>
      <w:szCs w:val="22"/>
    </w:rPr>
  </w:style>
  <w:style w:type="paragraph" w:customStyle="1" w:styleId="13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Courier New"/>
      <w:kern w:val="0"/>
      <w:sz w:val="20"/>
      <w:szCs w:val="20"/>
    </w:rPr>
  </w:style>
  <w:style w:type="paragraph" w:customStyle="1" w:styleId="133">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134">
    <w:name w:val="样式 标题 2 + Times New Roman 四号 非加粗 段前: 5 磅 段后: 0 磅 行距: 固定值 20..."/>
    <w:basedOn w:val="3"/>
    <w:qFormat/>
    <w:uiPriority w:val="99"/>
    <w:pPr>
      <w:spacing w:before="100" w:after="0" w:line="400" w:lineRule="exact"/>
    </w:pPr>
    <w:rPr>
      <w:rFonts w:ascii="Times New Roman" w:hAnsi="Times New Roman"/>
      <w:b w:val="0"/>
      <w:bCs w:val="0"/>
      <w:sz w:val="28"/>
      <w:szCs w:val="28"/>
    </w:rPr>
  </w:style>
  <w:style w:type="paragraph" w:customStyle="1" w:styleId="135">
    <w:name w:val="段落1 Char"/>
    <w:basedOn w:val="28"/>
    <w:qFormat/>
    <w:uiPriority w:val="99"/>
    <w:pPr>
      <w:spacing w:line="360" w:lineRule="auto"/>
    </w:pPr>
    <w:rPr>
      <w:rFonts w:ascii="Times New Roman" w:hAnsi="Times New Roman" w:cs="Times New Roman"/>
      <w:sz w:val="24"/>
      <w:szCs w:val="24"/>
    </w:rPr>
  </w:style>
  <w:style w:type="paragraph" w:customStyle="1" w:styleId="136">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37">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38">
    <w:name w:val="xl33"/>
    <w:basedOn w:val="1"/>
    <w:qFormat/>
    <w:uiPriority w:val="99"/>
    <w:pPr>
      <w:widowControl/>
      <w:pBdr>
        <w:left w:val="single" w:color="auto" w:sz="4" w:space="0"/>
      </w:pBdr>
      <w:spacing w:before="100" w:beforeAutospacing="1" w:after="100" w:afterAutospacing="1"/>
      <w:jc w:val="center"/>
      <w:textAlignment w:val="center"/>
    </w:pPr>
    <w:rPr>
      <w:rFonts w:ascii="Arial Unicode MS" w:hAnsi="Arial Unicode MS" w:eastAsia="宋体" w:cs="Arial Unicode MS"/>
      <w:kern w:val="0"/>
      <w:sz w:val="28"/>
      <w:szCs w:val="28"/>
    </w:rPr>
  </w:style>
  <w:style w:type="paragraph" w:customStyle="1" w:styleId="139">
    <w:name w:val="目录"/>
    <w:basedOn w:val="1"/>
    <w:qFormat/>
    <w:uiPriority w:val="99"/>
    <w:pPr>
      <w:widowControl/>
      <w:jc w:val="center"/>
    </w:pPr>
    <w:rPr>
      <w:rFonts w:ascii="宋体" w:hAnsi="Times New Roman" w:eastAsia="宋体" w:cs="宋体"/>
      <w:b/>
      <w:bCs/>
      <w:kern w:val="0"/>
      <w:sz w:val="36"/>
      <w:szCs w:val="36"/>
    </w:rPr>
  </w:style>
  <w:style w:type="paragraph" w:customStyle="1" w:styleId="140">
    <w:name w:val="段落2"/>
    <w:basedOn w:val="1"/>
    <w:qFormat/>
    <w:uiPriority w:val="99"/>
    <w:pPr>
      <w:spacing w:line="360" w:lineRule="auto"/>
      <w:ind w:firstLine="480" w:firstLineChars="200"/>
    </w:pPr>
    <w:rPr>
      <w:rFonts w:ascii="Times New Roman" w:hAnsi="Times New Roman" w:eastAsia="宋体" w:cs="Times New Roman"/>
      <w:sz w:val="24"/>
      <w:szCs w:val="24"/>
    </w:rPr>
  </w:style>
  <w:style w:type="paragraph" w:customStyle="1" w:styleId="141">
    <w:name w:val="Char Char Char Char Char Char"/>
    <w:basedOn w:val="1"/>
    <w:qFormat/>
    <w:uiPriority w:val="99"/>
    <w:rPr>
      <w:rFonts w:ascii="Tahoma" w:hAnsi="Tahoma" w:eastAsia="宋体" w:cs="Tahoma"/>
      <w:sz w:val="24"/>
      <w:szCs w:val="24"/>
    </w:rPr>
  </w:style>
  <w:style w:type="paragraph" w:customStyle="1" w:styleId="142">
    <w:name w:val="普通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3">
    <w:name w:val="样式3"/>
    <w:basedOn w:val="1"/>
    <w:qFormat/>
    <w:uiPriority w:val="99"/>
    <w:pPr>
      <w:tabs>
        <w:tab w:val="left" w:pos="560"/>
        <w:tab w:val="left" w:pos="1120"/>
      </w:tabs>
      <w:spacing w:line="480" w:lineRule="atLeast"/>
    </w:pPr>
    <w:rPr>
      <w:rFonts w:ascii="Times New Roman" w:hAnsi="Times New Roman" w:eastAsia="创艺简黑体" w:cs="Times New Roman"/>
      <w:b/>
      <w:bCs/>
      <w:sz w:val="28"/>
      <w:szCs w:val="28"/>
    </w:rPr>
  </w:style>
  <w:style w:type="paragraph" w:customStyle="1" w:styleId="144">
    <w:name w:val="目录文字"/>
    <w:basedOn w:val="1"/>
    <w:qFormat/>
    <w:uiPriority w:val="99"/>
    <w:pPr>
      <w:widowControl/>
      <w:spacing w:line="480" w:lineRule="auto"/>
      <w:jc w:val="left"/>
    </w:pPr>
    <w:rPr>
      <w:rFonts w:ascii="宋体" w:hAnsi="宋体" w:eastAsia="宋体" w:cs="宋体"/>
      <w:kern w:val="0"/>
      <w:sz w:val="24"/>
      <w:szCs w:val="24"/>
    </w:rPr>
  </w:style>
  <w:style w:type="paragraph" w:customStyle="1" w:styleId="145">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customStyle="1" w:styleId="146">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7">
    <w:name w:val="简单回函地址"/>
    <w:basedOn w:val="1"/>
    <w:qFormat/>
    <w:uiPriority w:val="99"/>
    <w:rPr>
      <w:rFonts w:ascii="Times New Roman" w:hAnsi="Times New Roman" w:eastAsia="宋体" w:cs="Times New Roman"/>
      <w:szCs w:val="21"/>
    </w:rPr>
  </w:style>
  <w:style w:type="paragraph" w:customStyle="1" w:styleId="148">
    <w:name w:val="Char Char Char Char"/>
    <w:basedOn w:val="1"/>
    <w:qFormat/>
    <w:uiPriority w:val="99"/>
    <w:pPr>
      <w:snapToGrid w:val="0"/>
      <w:spacing w:line="360" w:lineRule="auto"/>
      <w:ind w:firstLine="200" w:firstLineChars="200"/>
    </w:pPr>
    <w:rPr>
      <w:rFonts w:ascii="Times New Roman" w:hAnsi="Times New Roman" w:eastAsia="仿宋_GB2312" w:cs="Times New Roman"/>
      <w:sz w:val="24"/>
      <w:szCs w:val="24"/>
    </w:rPr>
  </w:style>
  <w:style w:type="paragraph" w:customStyle="1" w:styleId="149">
    <w:name w:val="Default Paragraph Char Char Char Char"/>
    <w:basedOn w:val="1"/>
    <w:next w:val="1"/>
    <w:qFormat/>
    <w:uiPriority w:val="99"/>
    <w:pPr>
      <w:widowControl/>
      <w:spacing w:line="360" w:lineRule="auto"/>
      <w:jc w:val="left"/>
    </w:pPr>
    <w:rPr>
      <w:rFonts w:ascii="Times New Roman" w:hAnsi="Times New Roman" w:eastAsia="宋体" w:cs="Times New Roman"/>
      <w:kern w:val="0"/>
      <w:szCs w:val="21"/>
      <w:lang w:eastAsia="en-US"/>
    </w:rPr>
  </w:style>
  <w:style w:type="paragraph" w:customStyle="1" w:styleId="150">
    <w:name w:val="Char1 Char Char Char"/>
    <w:basedOn w:val="1"/>
    <w:qFormat/>
    <w:uiPriority w:val="99"/>
    <w:rPr>
      <w:rFonts w:ascii="Tahoma" w:hAnsi="Tahoma" w:eastAsia="宋体" w:cs="Tahoma"/>
      <w:sz w:val="24"/>
      <w:szCs w:val="24"/>
    </w:rPr>
  </w:style>
  <w:style w:type="paragraph" w:customStyle="1" w:styleId="151">
    <w:name w:val="列出段落1"/>
    <w:basedOn w:val="1"/>
    <w:qFormat/>
    <w:uiPriority w:val="99"/>
    <w:pPr>
      <w:ind w:firstLine="420" w:firstLineChars="200"/>
    </w:pPr>
    <w:rPr>
      <w:rFonts w:ascii="Times New Roman" w:hAnsi="Times New Roman" w:eastAsia="宋体" w:cs="Times New Roman"/>
      <w:szCs w:val="21"/>
    </w:rPr>
  </w:style>
  <w:style w:type="character" w:customStyle="1" w:styleId="152">
    <w:name w:val="标题4 Char Char"/>
    <w:link w:val="153"/>
    <w:qFormat/>
    <w:locked/>
    <w:uiPriority w:val="99"/>
    <w:rPr>
      <w:rFonts w:ascii="Arial" w:hAnsi="Arial" w:cs="Arial"/>
      <w:b/>
      <w:bCs/>
      <w:sz w:val="32"/>
      <w:szCs w:val="32"/>
    </w:rPr>
  </w:style>
  <w:style w:type="paragraph" w:customStyle="1" w:styleId="153">
    <w:name w:val="标题4"/>
    <w:basedOn w:val="3"/>
    <w:next w:val="25"/>
    <w:link w:val="152"/>
    <w:qFormat/>
    <w:uiPriority w:val="99"/>
    <w:pPr>
      <w:spacing w:line="413" w:lineRule="auto"/>
    </w:pPr>
    <w:rPr>
      <w:rFonts w:cs="Arial" w:eastAsiaTheme="minorEastAsia"/>
    </w:rPr>
  </w:style>
  <w:style w:type="character" w:customStyle="1" w:styleId="154">
    <w:name w:val="明显引用 Char"/>
    <w:link w:val="155"/>
    <w:qFormat/>
    <w:locked/>
    <w:uiPriority w:val="99"/>
    <w:rPr>
      <w:b/>
      <w:bCs/>
      <w:i/>
      <w:iCs/>
      <w:color w:val="4F81BD"/>
      <w:sz w:val="22"/>
    </w:rPr>
  </w:style>
  <w:style w:type="paragraph" w:styleId="155">
    <w:name w:val="Intense Quote"/>
    <w:basedOn w:val="1"/>
    <w:next w:val="1"/>
    <w:link w:val="154"/>
    <w:qFormat/>
    <w:uiPriority w:val="99"/>
    <w:pPr>
      <w:pBdr>
        <w:bottom w:val="single" w:color="4F81BD" w:sz="4" w:space="4"/>
      </w:pBdr>
      <w:spacing w:before="200" w:after="280"/>
      <w:ind w:left="936" w:right="936"/>
    </w:pPr>
    <w:rPr>
      <w:b/>
      <w:bCs/>
      <w:i/>
      <w:iCs/>
      <w:color w:val="4F81BD"/>
      <w:sz w:val="22"/>
    </w:rPr>
  </w:style>
  <w:style w:type="character" w:customStyle="1" w:styleId="156">
    <w:name w:val="明显引用 Char1"/>
    <w:basedOn w:val="52"/>
    <w:link w:val="157"/>
    <w:qFormat/>
    <w:uiPriority w:val="99"/>
    <w:rPr>
      <w:b/>
      <w:bCs/>
      <w:i/>
      <w:iCs/>
      <w:color w:val="4F81BD" w:themeColor="accent1"/>
      <w14:textFill>
        <w14:solidFill>
          <w14:schemeClr w14:val="accent1"/>
        </w14:solidFill>
      </w14:textFill>
    </w:rPr>
  </w:style>
  <w:style w:type="paragraph" w:customStyle="1" w:styleId="157">
    <w:name w:val="明显引用1"/>
    <w:basedOn w:val="1"/>
    <w:next w:val="1"/>
    <w:link w:val="156"/>
    <w:qFormat/>
    <w:uiPriority w:val="99"/>
    <w:pPr>
      <w:pBdr>
        <w:bottom w:val="single" w:color="4F81BD"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1"/>
    <w:basedOn w:val="52"/>
    <w:qFormat/>
    <w:uiPriority w:val="30"/>
    <w:rPr>
      <w:b/>
      <w:bCs/>
      <w:i/>
      <w:iCs/>
      <w:color w:val="4F81BD" w:themeColor="accent1"/>
      <w:szCs w:val="21"/>
      <w14:textFill>
        <w14:solidFill>
          <w14:schemeClr w14:val="accent1"/>
        </w14:solidFill>
      </w14:textFill>
    </w:rPr>
  </w:style>
  <w:style w:type="character" w:customStyle="1" w:styleId="159">
    <w:name w:val="书籍标题1"/>
    <w:qFormat/>
    <w:uiPriority w:val="99"/>
    <w:rPr>
      <w:b/>
      <w:bCs/>
      <w:smallCaps/>
      <w:spacing w:val="5"/>
    </w:rPr>
  </w:style>
  <w:style w:type="character" w:customStyle="1" w:styleId="160">
    <w:name w:val="明显强调1"/>
    <w:qFormat/>
    <w:uiPriority w:val="99"/>
    <w:rPr>
      <w:b/>
      <w:bCs/>
      <w:i/>
      <w:iCs/>
      <w:color w:val="4F81BD"/>
    </w:rPr>
  </w:style>
  <w:style w:type="character" w:customStyle="1" w:styleId="161">
    <w:name w:val="标题5 Char Char"/>
    <w:link w:val="162"/>
    <w:qFormat/>
    <w:locked/>
    <w:uiPriority w:val="99"/>
    <w:rPr>
      <w:rFonts w:ascii="Arial" w:hAnsi="Arial" w:cs="Arial"/>
      <w:b/>
      <w:bCs/>
      <w:sz w:val="32"/>
      <w:szCs w:val="32"/>
    </w:rPr>
  </w:style>
  <w:style w:type="paragraph" w:customStyle="1" w:styleId="162">
    <w:name w:val="标题5"/>
    <w:basedOn w:val="4"/>
    <w:link w:val="161"/>
    <w:qFormat/>
    <w:uiPriority w:val="99"/>
    <w:rPr>
      <w:rFonts w:ascii="Arial" w:hAnsi="Arial" w:cs="Arial" w:eastAsiaTheme="minorEastAsia"/>
    </w:rPr>
  </w:style>
  <w:style w:type="character" w:customStyle="1" w:styleId="163">
    <w:name w:val="textcontents"/>
    <w:qFormat/>
    <w:uiPriority w:val="99"/>
  </w:style>
  <w:style w:type="character" w:customStyle="1" w:styleId="164">
    <w:name w:val="不明显强调1"/>
    <w:qFormat/>
    <w:uiPriority w:val="99"/>
    <w:rPr>
      <w:i/>
      <w:iCs/>
      <w:color w:val="808080"/>
    </w:rPr>
  </w:style>
  <w:style w:type="character" w:customStyle="1" w:styleId="165">
    <w:name w:val="不明显参考1"/>
    <w:qFormat/>
    <w:uiPriority w:val="99"/>
    <w:rPr>
      <w:smallCaps/>
      <w:color w:val="auto"/>
      <w:u w:val="single"/>
    </w:rPr>
  </w:style>
  <w:style w:type="character" w:customStyle="1" w:styleId="166">
    <w:name w:val="批注主题 Char1"/>
    <w:qFormat/>
    <w:uiPriority w:val="99"/>
    <w:rPr>
      <w:b/>
      <w:bCs/>
      <w:kern w:val="2"/>
      <w:sz w:val="22"/>
      <w:szCs w:val="22"/>
    </w:rPr>
  </w:style>
  <w:style w:type="character" w:customStyle="1" w:styleId="167">
    <w:name w:val="批注文字 Char Char"/>
    <w:qFormat/>
    <w:uiPriority w:val="99"/>
    <w:rPr>
      <w:rFonts w:ascii="宋体" w:hAnsi="Times New Roman" w:eastAsia="宋体" w:cs="宋体"/>
      <w:sz w:val="20"/>
      <w:szCs w:val="20"/>
    </w:rPr>
  </w:style>
  <w:style w:type="character" w:customStyle="1" w:styleId="168">
    <w:name w:val="明显参考1"/>
    <w:qFormat/>
    <w:uiPriority w:val="99"/>
    <w:rPr>
      <w:b/>
      <w:bCs/>
      <w:smallCaps/>
      <w:color w:val="auto"/>
      <w:spacing w:val="5"/>
      <w:u w:val="single"/>
    </w:rPr>
  </w:style>
  <w:style w:type="character" w:customStyle="1" w:styleId="169">
    <w:name w:val="引用 Char"/>
    <w:link w:val="170"/>
    <w:locked/>
    <w:uiPriority w:val="99"/>
    <w:rPr>
      <w:i/>
      <w:iCs/>
      <w:color w:val="000000"/>
      <w:sz w:val="22"/>
    </w:rPr>
  </w:style>
  <w:style w:type="paragraph" w:styleId="170">
    <w:name w:val="Quote"/>
    <w:basedOn w:val="1"/>
    <w:next w:val="1"/>
    <w:link w:val="169"/>
    <w:qFormat/>
    <w:uiPriority w:val="99"/>
    <w:rPr>
      <w:i/>
      <w:iCs/>
      <w:color w:val="000000"/>
      <w:sz w:val="22"/>
    </w:rPr>
  </w:style>
  <w:style w:type="character" w:customStyle="1" w:styleId="171">
    <w:name w:val="引用 Char1"/>
    <w:basedOn w:val="52"/>
    <w:link w:val="172"/>
    <w:qFormat/>
    <w:uiPriority w:val="99"/>
    <w:rPr>
      <w:i/>
      <w:iCs/>
      <w:color w:val="000000" w:themeColor="text1"/>
      <w14:textFill>
        <w14:solidFill>
          <w14:schemeClr w14:val="tx1"/>
        </w14:solidFill>
      </w14:textFill>
    </w:rPr>
  </w:style>
  <w:style w:type="paragraph" w:customStyle="1" w:styleId="172">
    <w:name w:val="引用1"/>
    <w:basedOn w:val="1"/>
    <w:next w:val="1"/>
    <w:link w:val="171"/>
    <w:qFormat/>
    <w:uiPriority w:val="99"/>
    <w:rPr>
      <w:i/>
      <w:iCs/>
      <w:color w:val="000000" w:themeColor="text1"/>
      <w14:textFill>
        <w14:solidFill>
          <w14:schemeClr w14:val="tx1"/>
        </w14:solidFill>
      </w14:textFill>
    </w:rPr>
  </w:style>
  <w:style w:type="character" w:customStyle="1" w:styleId="173">
    <w:name w:val="Quote Char1"/>
    <w:basedOn w:val="52"/>
    <w:qFormat/>
    <w:uiPriority w:val="29"/>
    <w:rPr>
      <w:i/>
      <w:iCs/>
      <w:color w:val="000000" w:themeColor="text1"/>
      <w:szCs w:val="21"/>
      <w14:textFill>
        <w14:solidFill>
          <w14:schemeClr w14:val="tx1"/>
        </w14:solidFill>
      </w14:textFill>
    </w:rPr>
  </w:style>
  <w:style w:type="character" w:customStyle="1" w:styleId="174">
    <w:name w:val="文档结构图 Char1"/>
    <w:qFormat/>
    <w:uiPriority w:val="99"/>
    <w:rPr>
      <w:rFonts w:ascii="宋体" w:cs="宋体"/>
      <w:kern w:val="2"/>
      <w:sz w:val="18"/>
      <w:szCs w:val="18"/>
    </w:rPr>
  </w:style>
  <w:style w:type="paragraph" w:customStyle="1" w:styleId="175">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76">
    <w:name w:val="列出段落2"/>
    <w:basedOn w:val="1"/>
    <w:qFormat/>
    <w:uiPriority w:val="99"/>
    <w:pPr>
      <w:ind w:firstLine="420" w:firstLineChars="200"/>
    </w:pPr>
    <w:rPr>
      <w:rFonts w:ascii="Calibri" w:hAnsi="Calibri" w:eastAsia="宋体" w:cs="Calibri"/>
      <w:szCs w:val="21"/>
    </w:rPr>
  </w:style>
  <w:style w:type="paragraph" w:customStyle="1" w:styleId="177">
    <w:name w:val="修订2"/>
    <w:qFormat/>
    <w:uiPriority w:val="99"/>
    <w:rPr>
      <w:rFonts w:ascii="Times New Roman" w:hAnsi="Times New Roman" w:eastAsia="宋体" w:cs="Times New Roman"/>
      <w:kern w:val="2"/>
      <w:sz w:val="21"/>
      <w:szCs w:val="21"/>
      <w:lang w:val="en-US" w:eastAsia="zh-CN" w:bidi="ar-SA"/>
    </w:rPr>
  </w:style>
  <w:style w:type="paragraph" w:customStyle="1" w:styleId="178">
    <w:name w:val="flNote"/>
    <w:basedOn w:val="1"/>
    <w:qFormat/>
    <w:uiPriority w:val="99"/>
    <w:pPr>
      <w:adjustRightInd w:val="0"/>
      <w:spacing w:before="320" w:after="160" w:line="360" w:lineRule="atLeast"/>
      <w:jc w:val="center"/>
      <w:textAlignment w:val="baseline"/>
    </w:pPr>
    <w:rPr>
      <w:rFonts w:ascii="Arial" w:hAnsi="Times New Roman" w:eastAsia="黑体" w:cs="Arial"/>
      <w:kern w:val="0"/>
      <w:sz w:val="30"/>
      <w:szCs w:val="30"/>
    </w:rPr>
  </w:style>
  <w:style w:type="paragraph" w:customStyle="1" w:styleId="179">
    <w:name w:val="空半行"/>
    <w:basedOn w:val="1"/>
    <w:qFormat/>
    <w:uiPriority w:val="99"/>
    <w:pPr>
      <w:adjustRightInd w:val="0"/>
      <w:spacing w:line="120" w:lineRule="exact"/>
      <w:textAlignment w:val="baseline"/>
    </w:pPr>
    <w:rPr>
      <w:rFonts w:ascii="Times New Roman" w:hAnsi="Times New Roman" w:eastAsia="仿宋_GB2312" w:cs="Times New Roman"/>
      <w:color w:val="FFFFFF"/>
      <w:kern w:val="0"/>
      <w:sz w:val="30"/>
      <w:szCs w:val="30"/>
    </w:rPr>
  </w:style>
  <w:style w:type="paragraph" w:customStyle="1" w:styleId="180">
    <w:name w:val="TOC 标题1"/>
    <w:basedOn w:val="2"/>
    <w:next w:val="1"/>
    <w:qFormat/>
    <w:uiPriority w:val="99"/>
    <w:pPr>
      <w:keepLines/>
      <w:numPr>
        <w:numId w:val="0"/>
      </w:numPr>
      <w:spacing w:before="340" w:after="330" w:line="576" w:lineRule="auto"/>
      <w:outlineLvl w:val="9"/>
    </w:pPr>
    <w:rPr>
      <w:rFonts w:ascii="Calibri" w:hAnsi="Calibri" w:eastAsia="宋体" w:cs="Calibri"/>
      <w:b/>
      <w:bCs/>
      <w:kern w:val="44"/>
      <w:sz w:val="44"/>
      <w:szCs w:val="44"/>
      <w:lang w:bidi="ar-SA"/>
    </w:rPr>
  </w:style>
  <w:style w:type="character" w:customStyle="1" w:styleId="181">
    <w:name w:val="Book Title"/>
    <w:basedOn w:val="52"/>
    <w:qFormat/>
    <w:uiPriority w:val="99"/>
    <w:rPr>
      <w:b/>
      <w:bCs/>
      <w:smallCaps/>
      <w:spacing w:val="5"/>
    </w:rPr>
  </w:style>
  <w:style w:type="character" w:customStyle="1" w:styleId="182">
    <w:name w:val="Intense Emphasis"/>
    <w:basedOn w:val="52"/>
    <w:qFormat/>
    <w:uiPriority w:val="99"/>
    <w:rPr>
      <w:b/>
      <w:bCs/>
      <w:i/>
      <w:iCs/>
      <w:color w:val="4F81BD"/>
    </w:rPr>
  </w:style>
  <w:style w:type="character" w:customStyle="1" w:styleId="183">
    <w:name w:val="Subtle Emphasis"/>
    <w:basedOn w:val="52"/>
    <w:qFormat/>
    <w:uiPriority w:val="99"/>
    <w:rPr>
      <w:i/>
      <w:iCs/>
      <w:color w:val="808080"/>
    </w:rPr>
  </w:style>
  <w:style w:type="character" w:customStyle="1" w:styleId="184">
    <w:name w:val="Subtle Reference"/>
    <w:basedOn w:val="52"/>
    <w:qFormat/>
    <w:uiPriority w:val="99"/>
    <w:rPr>
      <w:smallCaps/>
      <w:color w:val="auto"/>
      <w:u w:val="single"/>
    </w:rPr>
  </w:style>
  <w:style w:type="character" w:customStyle="1" w:styleId="185">
    <w:name w:val="Intense Reference"/>
    <w:basedOn w:val="52"/>
    <w:qFormat/>
    <w:uiPriority w:val="99"/>
    <w:rPr>
      <w:b/>
      <w:bCs/>
      <w:smallCaps/>
      <w:color w:val="auto"/>
      <w:spacing w:val="5"/>
      <w:u w:val="single"/>
    </w:rPr>
  </w:style>
  <w:style w:type="paragraph" w:styleId="18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87">
    <w:name w:val="Revision"/>
    <w:qFormat/>
    <w:uiPriority w:val="99"/>
    <w:rPr>
      <w:rFonts w:ascii="Times New Roman" w:hAnsi="Times New Roman" w:eastAsia="宋体" w:cs="Times New Roman"/>
      <w:kern w:val="2"/>
      <w:sz w:val="21"/>
      <w:szCs w:val="21"/>
      <w:lang w:val="en-US" w:eastAsia="zh-CN" w:bidi="ar-SA"/>
    </w:rPr>
  </w:style>
  <w:style w:type="paragraph" w:customStyle="1" w:styleId="188">
    <w:name w:val="默认段落字体 Para Char"/>
    <w:basedOn w:val="1"/>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28514-E295-4700-A800-BC6B83252D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4197</Words>
  <Characters>23926</Characters>
  <Lines>199</Lines>
  <Paragraphs>56</Paragraphs>
  <TotalTime>24</TotalTime>
  <ScaleCrop>false</ScaleCrop>
  <LinksUpToDate>false</LinksUpToDate>
  <CharactersWithSpaces>28067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2018-07-18T08:45:00Z</dcterms:created>
  <dc:creator>NTKO</dc:creator>
  <cp:lastModifiedBy>NTKO</cp:lastModifiedBy>
  <cp:lastPrinted>2018-08-08T00:34:35Z</cp:lastPrinted>
  <dcterms:modified xsi:type="dcterms:W3CDTF">2018-08-08T05:17:45Z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