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15" w:lineRule="atLeast"/>
        <w:jc w:val="center"/>
        <w:rPr>
          <w:rFonts w:hint="eastAsia" w:ascii="黑体" w:hAnsi="宋体" w:eastAsia="黑体"/>
          <w:b/>
          <w:sz w:val="24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黄山学院学生公寓楼顶电扇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采购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项目报价</w:t>
      </w:r>
      <w:r>
        <w:rPr>
          <w:rFonts w:hint="eastAsia"/>
          <w:b/>
          <w:bCs/>
          <w:color w:val="auto"/>
          <w:sz w:val="36"/>
          <w:szCs w:val="36"/>
        </w:rPr>
        <w:t>单</w:t>
      </w:r>
    </w:p>
    <w:p>
      <w:pPr>
        <w:widowControl/>
        <w:spacing w:line="480" w:lineRule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采购需求及技术要求</w:t>
      </w:r>
    </w:p>
    <w:tbl>
      <w:tblPr>
        <w:tblStyle w:val="6"/>
        <w:tblW w:w="9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174"/>
        <w:gridCol w:w="705"/>
        <w:gridCol w:w="765"/>
        <w:gridCol w:w="870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Cs w:val="21"/>
                <w:lang w:eastAsia="zh-CN"/>
              </w:rPr>
              <w:t>名称</w:t>
            </w:r>
          </w:p>
        </w:tc>
        <w:tc>
          <w:tcPr>
            <w:tcW w:w="5174" w:type="dxa"/>
            <w:vAlign w:val="center"/>
          </w:tcPr>
          <w:p>
            <w:pPr>
              <w:spacing w:line="480" w:lineRule="auto"/>
              <w:ind w:firstLine="105" w:firstLineChars="50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Cs w:val="21"/>
                <w:lang w:eastAsia="zh-CN"/>
              </w:rPr>
              <w:t>技术参数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数量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单位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单价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（元）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9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总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  <w:lang w:eastAsia="zh-CN"/>
              </w:rPr>
              <w:t>价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auto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楼顶电扇</w:t>
            </w:r>
          </w:p>
        </w:tc>
        <w:tc>
          <w:tcPr>
            <w:tcW w:w="5174" w:type="dxa"/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参考品牌：美的、格力</w:t>
            </w:r>
          </w:p>
          <w:p>
            <w:pPr>
              <w:widowControl/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1、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360°摇头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噪声比</w:t>
            </w: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67db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风叶直径40cm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4、带调速器，3挡调速</w:t>
            </w:r>
            <w:bookmarkStart w:id="0" w:name="_GoBack"/>
            <w:bookmarkEnd w:id="0"/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台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9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9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38" w:type="dxa"/>
            <w:gridSpan w:val="6"/>
            <w:vAlign w:val="center"/>
          </w:tcPr>
          <w:p>
            <w:pPr>
              <w:spacing w:line="480" w:lineRule="auto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21"/>
              </w:rPr>
              <w:t xml:space="preserve">      合计人民币（大写）：                                   小写：￥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注：1、具体采购需求中如有参考品牌、型号，仅作为说明没有限制性；</w:t>
      </w:r>
    </w:p>
    <w:p>
      <w:pPr>
        <w:widowControl/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2、投标人若采用与具体采购需求不一致的参数或者内容，应优于或者相当于具体采购需求中的标准，并提供相关证明材料并加盖投标人公章，否则询价小组可以否决其投标；</w:t>
      </w:r>
    </w:p>
    <w:p>
      <w:pPr>
        <w:spacing w:after="0" w:line="360" w:lineRule="auto"/>
        <w:ind w:firstLine="42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3、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报价中包含材料费、运输费、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人工费等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一切费用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（不含安装）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。</w:t>
      </w:r>
    </w:p>
    <w:p>
      <w:pPr>
        <w:numPr>
          <w:numId w:val="0"/>
        </w:num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4、评审细则：按照有效最低价评标法，</w:t>
      </w:r>
      <w:r>
        <w:rPr>
          <w:rFonts w:hint="eastAsia" w:ascii="宋体" w:hAnsi="宋体"/>
          <w:b/>
          <w:bCs/>
          <w:sz w:val="21"/>
          <w:szCs w:val="21"/>
        </w:rPr>
        <w:t>由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评审</w:t>
      </w:r>
      <w:r>
        <w:rPr>
          <w:rFonts w:hint="eastAsia" w:ascii="宋体" w:hAnsi="宋体"/>
          <w:b/>
          <w:bCs/>
          <w:sz w:val="21"/>
          <w:szCs w:val="21"/>
        </w:rPr>
        <w:t>小组从满足询价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单</w:t>
      </w:r>
      <w:r>
        <w:rPr>
          <w:rFonts w:hint="eastAsia" w:ascii="宋体" w:hAnsi="宋体"/>
          <w:b/>
          <w:bCs/>
          <w:sz w:val="21"/>
          <w:szCs w:val="21"/>
        </w:rPr>
        <w:t>要求的供应商中以报价最低者推荐为成交供应商。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该供应商的报价即为成交的合同价。如果有两个或两个以上供应商报价相同，由采购人确定中标人。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5、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采用货到验收合格后通过银行对公转账付款，发票由中标方按国家有关财税规定开给采购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人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。</w:t>
      </w:r>
    </w:p>
    <w:p>
      <w:pPr>
        <w:widowControl/>
        <w:adjustRightInd w:val="0"/>
        <w:snapToGrid w:val="0"/>
        <w:spacing w:line="360" w:lineRule="auto"/>
        <w:ind w:right="380"/>
        <w:rPr>
          <w:rFonts w:hint="eastAsia"/>
          <w:sz w:val="24"/>
        </w:rPr>
      </w:pPr>
    </w:p>
    <w:p>
      <w:pPr>
        <w:widowControl/>
        <w:adjustRightInd w:val="0"/>
        <w:snapToGrid w:val="0"/>
        <w:spacing w:line="360" w:lineRule="auto"/>
        <w:ind w:right="380"/>
        <w:rPr>
          <w:rFonts w:ascii="宋体" w:hAnsi="宋体" w:cs="宋体"/>
          <w:kern w:val="0"/>
          <w:sz w:val="19"/>
          <w:szCs w:val="21"/>
        </w:rPr>
      </w:pPr>
      <w:r>
        <w:rPr>
          <w:rFonts w:hint="eastAsia"/>
          <w:sz w:val="24"/>
        </w:rPr>
        <w:t>本单位已悉知以上内容，并承诺严格按照上述各项要求进行投标。</w:t>
      </w: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报价单位（盖章）；</w:t>
      </w: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负责人（签字）：                     联系电话：                   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7B8814"/>
    <w:multiLevelType w:val="singleLevel"/>
    <w:tmpl w:val="EB7B881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E2D"/>
    <w:rsid w:val="000218B8"/>
    <w:rsid w:val="00075CE9"/>
    <w:rsid w:val="000873B4"/>
    <w:rsid w:val="000D17E0"/>
    <w:rsid w:val="00102878"/>
    <w:rsid w:val="00127CC6"/>
    <w:rsid w:val="001345CA"/>
    <w:rsid w:val="00136D0D"/>
    <w:rsid w:val="002D6D45"/>
    <w:rsid w:val="002F693F"/>
    <w:rsid w:val="00331030"/>
    <w:rsid w:val="00355FA7"/>
    <w:rsid w:val="003947B2"/>
    <w:rsid w:val="003C57E3"/>
    <w:rsid w:val="004115DC"/>
    <w:rsid w:val="00455FE8"/>
    <w:rsid w:val="004D22A6"/>
    <w:rsid w:val="004E35CA"/>
    <w:rsid w:val="00506E5D"/>
    <w:rsid w:val="005108A1"/>
    <w:rsid w:val="0051257A"/>
    <w:rsid w:val="0052310E"/>
    <w:rsid w:val="00526E77"/>
    <w:rsid w:val="00561DCF"/>
    <w:rsid w:val="00562BB1"/>
    <w:rsid w:val="005C6675"/>
    <w:rsid w:val="00651E79"/>
    <w:rsid w:val="00682492"/>
    <w:rsid w:val="00686E2D"/>
    <w:rsid w:val="006B2F48"/>
    <w:rsid w:val="007361C9"/>
    <w:rsid w:val="00782208"/>
    <w:rsid w:val="00802CEE"/>
    <w:rsid w:val="008730E7"/>
    <w:rsid w:val="008A2739"/>
    <w:rsid w:val="008C4FC6"/>
    <w:rsid w:val="00944938"/>
    <w:rsid w:val="00981B19"/>
    <w:rsid w:val="009A592D"/>
    <w:rsid w:val="009D263B"/>
    <w:rsid w:val="00A31C0A"/>
    <w:rsid w:val="00A35E4E"/>
    <w:rsid w:val="00B3417C"/>
    <w:rsid w:val="00B5512B"/>
    <w:rsid w:val="00B67EC1"/>
    <w:rsid w:val="00BA6947"/>
    <w:rsid w:val="00C02163"/>
    <w:rsid w:val="00C6201F"/>
    <w:rsid w:val="00C83A9C"/>
    <w:rsid w:val="00CA2B3F"/>
    <w:rsid w:val="00D97460"/>
    <w:rsid w:val="00DE4279"/>
    <w:rsid w:val="00DF1F95"/>
    <w:rsid w:val="00E169D8"/>
    <w:rsid w:val="00E1795C"/>
    <w:rsid w:val="00E36BB4"/>
    <w:rsid w:val="00E46131"/>
    <w:rsid w:val="00E5099F"/>
    <w:rsid w:val="00F11BD3"/>
    <w:rsid w:val="00F2583F"/>
    <w:rsid w:val="00F36513"/>
    <w:rsid w:val="00F44CE4"/>
    <w:rsid w:val="00F7087F"/>
    <w:rsid w:val="00FD4FA3"/>
    <w:rsid w:val="00FF3435"/>
    <w:rsid w:val="07500846"/>
    <w:rsid w:val="07DD2CA9"/>
    <w:rsid w:val="0AC33B6F"/>
    <w:rsid w:val="0CE77B1C"/>
    <w:rsid w:val="0D7D1AF1"/>
    <w:rsid w:val="0F325F44"/>
    <w:rsid w:val="0F6B31DC"/>
    <w:rsid w:val="177E12EA"/>
    <w:rsid w:val="19CB4126"/>
    <w:rsid w:val="1BFE46A9"/>
    <w:rsid w:val="24ED4908"/>
    <w:rsid w:val="270133E4"/>
    <w:rsid w:val="2E4A7BAD"/>
    <w:rsid w:val="2F1E536C"/>
    <w:rsid w:val="34431B2C"/>
    <w:rsid w:val="3C550C0D"/>
    <w:rsid w:val="3D130490"/>
    <w:rsid w:val="45211B60"/>
    <w:rsid w:val="4EA61FAA"/>
    <w:rsid w:val="513E7204"/>
    <w:rsid w:val="5A5E1EFE"/>
    <w:rsid w:val="5B47514B"/>
    <w:rsid w:val="600C5341"/>
    <w:rsid w:val="70770485"/>
    <w:rsid w:val="72095733"/>
    <w:rsid w:val="77FD7B46"/>
    <w:rsid w:val="79331079"/>
    <w:rsid w:val="79706B65"/>
    <w:rsid w:val="798D59FE"/>
    <w:rsid w:val="7E14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21058A-DCFA-43B9-B9A6-6E71B642FB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487</Characters>
  <Lines>4</Lines>
  <Paragraphs>1</Paragraphs>
  <TotalTime>2</TotalTime>
  <ScaleCrop>false</ScaleCrop>
  <LinksUpToDate>false</LinksUpToDate>
  <CharactersWithSpaces>571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2017-12-01T03:17:00Z</dcterms:created>
  <dc:creator>杜奎宝</dc:creator>
  <cp:lastModifiedBy>Administrator</cp:lastModifiedBy>
  <cp:lastPrinted>2018-09-18T06:46:00Z</cp:lastPrinted>
  <dcterms:modified xsi:type="dcterms:W3CDTF">2019-04-28T08:25:16Z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