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15" w:lineRule="atLeast"/>
        <w:jc w:val="center"/>
        <w:rPr>
          <w:rFonts w:hint="eastAsia" w:ascii="黑体" w:hAnsi="宋体" w:eastAsia="黑体"/>
          <w:b/>
          <w:bCs/>
          <w:sz w:val="24"/>
        </w:rPr>
      </w:pPr>
      <w:r>
        <w:rPr>
          <w:rFonts w:hint="eastAsia"/>
          <w:b/>
          <w:bCs/>
          <w:color w:val="auto"/>
          <w:sz w:val="36"/>
          <w:szCs w:val="36"/>
          <w:lang w:eastAsia="zh-CN"/>
        </w:rPr>
        <w:t>黄山学院文昌楼周边车位标线施划项目报价</w:t>
      </w:r>
      <w:r>
        <w:rPr>
          <w:rFonts w:hint="eastAsia"/>
          <w:b/>
          <w:bCs/>
          <w:color w:val="auto"/>
          <w:sz w:val="36"/>
          <w:szCs w:val="36"/>
        </w:rPr>
        <w:t>单</w:t>
      </w:r>
    </w:p>
    <w:p>
      <w:pPr>
        <w:widowControl/>
        <w:spacing w:line="480" w:lineRule="auto"/>
        <w:rPr>
          <w:rFonts w:hint="eastAsia" w:ascii="黑体" w:hAnsi="宋体" w:eastAsia="黑体"/>
          <w:b/>
          <w:sz w:val="28"/>
          <w:szCs w:val="28"/>
        </w:rPr>
      </w:pPr>
    </w:p>
    <w:p>
      <w:pPr>
        <w:widowControl/>
        <w:spacing w:line="480" w:lineRule="auto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采购需求</w:t>
      </w:r>
    </w:p>
    <w:tbl>
      <w:tblPr>
        <w:tblStyle w:val="8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080"/>
        <w:gridCol w:w="1050"/>
        <w:gridCol w:w="970"/>
        <w:gridCol w:w="143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2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Arial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2080" w:type="dxa"/>
            <w:vAlign w:val="center"/>
          </w:tcPr>
          <w:p>
            <w:pPr>
              <w:spacing w:line="240" w:lineRule="auto"/>
              <w:ind w:firstLine="90" w:firstLineChars="50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  <w:t>技术要求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数量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价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129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 w:val="0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bCs w:val="0"/>
                <w:iCs/>
                <w:color w:val="000000"/>
                <w:sz w:val="24"/>
              </w:rPr>
              <w:t>停车</w:t>
            </w:r>
            <w:r>
              <w:rPr>
                <w:rFonts w:hint="eastAsia"/>
                <w:b/>
                <w:bCs w:val="0"/>
                <w:iCs/>
                <w:color w:val="000000"/>
                <w:sz w:val="24"/>
              </w:rPr>
              <w:t>位</w:t>
            </w:r>
          </w:p>
        </w:tc>
        <w:tc>
          <w:tcPr>
            <w:tcW w:w="208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5*2.5(m)</w:t>
            </w:r>
          </w:p>
        </w:tc>
        <w:tc>
          <w:tcPr>
            <w:tcW w:w="105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65</w:t>
            </w:r>
          </w:p>
        </w:tc>
        <w:tc>
          <w:tcPr>
            <w:tcW w:w="97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个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29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 w:val="0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bCs w:val="0"/>
                <w:iCs/>
                <w:color w:val="000000"/>
                <w:sz w:val="24"/>
              </w:rPr>
              <w:t>车位箭头</w:t>
            </w:r>
          </w:p>
        </w:tc>
        <w:tc>
          <w:tcPr>
            <w:tcW w:w="208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长0.6(m)</w:t>
            </w:r>
          </w:p>
        </w:tc>
        <w:tc>
          <w:tcPr>
            <w:tcW w:w="105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65</w:t>
            </w:r>
          </w:p>
        </w:tc>
        <w:tc>
          <w:tcPr>
            <w:tcW w:w="97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个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29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/>
                <w:b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车位停车定位器</w:t>
            </w:r>
          </w:p>
        </w:tc>
        <w:tc>
          <w:tcPr>
            <w:tcW w:w="208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/>
                <w:b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0.56*0.16*0.11(m)</w:t>
            </w:r>
          </w:p>
        </w:tc>
        <w:tc>
          <w:tcPr>
            <w:tcW w:w="105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60</w:t>
            </w:r>
          </w:p>
        </w:tc>
        <w:tc>
          <w:tcPr>
            <w:tcW w:w="97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个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29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 w:val="0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bCs w:val="0"/>
                <w:iCs/>
                <w:color w:val="000000"/>
                <w:sz w:val="24"/>
              </w:rPr>
              <w:t>标线</w:t>
            </w:r>
          </w:p>
        </w:tc>
        <w:tc>
          <w:tcPr>
            <w:tcW w:w="208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线宽0.15(m)</w:t>
            </w:r>
          </w:p>
        </w:tc>
        <w:tc>
          <w:tcPr>
            <w:tcW w:w="105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220</w:t>
            </w:r>
          </w:p>
        </w:tc>
        <w:tc>
          <w:tcPr>
            <w:tcW w:w="97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  <w:lang w:val="en-US" w:eastAsia="zh-CN"/>
              </w:rPr>
              <w:t>m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29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 w:val="0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bCs w:val="0"/>
                <w:iCs/>
                <w:color w:val="000000"/>
                <w:sz w:val="24"/>
              </w:rPr>
              <w:t>减速带</w:t>
            </w:r>
          </w:p>
        </w:tc>
        <w:tc>
          <w:tcPr>
            <w:tcW w:w="208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Cs w:val="21"/>
              </w:rPr>
              <w:t>1*0.35*0.05(m)</w:t>
            </w:r>
          </w:p>
        </w:tc>
        <w:tc>
          <w:tcPr>
            <w:tcW w:w="105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30</w:t>
            </w:r>
          </w:p>
        </w:tc>
        <w:tc>
          <w:tcPr>
            <w:tcW w:w="97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  <w:lang w:val="en-US" w:eastAsia="zh-CN"/>
              </w:rPr>
              <w:t>m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29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 w:val="0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bCs w:val="0"/>
                <w:iCs/>
                <w:color w:val="000000"/>
                <w:sz w:val="24"/>
              </w:rPr>
              <w:t>广角镜</w:t>
            </w:r>
          </w:p>
        </w:tc>
        <w:tc>
          <w:tcPr>
            <w:tcW w:w="208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φ0.8(m)</w:t>
            </w:r>
          </w:p>
        </w:tc>
        <w:tc>
          <w:tcPr>
            <w:tcW w:w="105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97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个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38" w:type="dxa"/>
            <w:gridSpan w:val="6"/>
            <w:vAlign w:val="center"/>
          </w:tcPr>
          <w:p>
            <w:pPr>
              <w:spacing w:line="24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 xml:space="preserve">      合计人民币（大写）：                                   </w:t>
            </w:r>
            <w:r>
              <w:rPr>
                <w:rFonts w:hint="eastAsia" w:ascii="宋体" w:hAnsi="宋体" w:cs="宋体"/>
                <w:kern w:val="0"/>
                <w:sz w:val="19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小写：￥</w:t>
            </w:r>
          </w:p>
        </w:tc>
      </w:tr>
    </w:tbl>
    <w:p>
      <w:pPr>
        <w:tabs>
          <w:tab w:val="left" w:pos="900"/>
          <w:tab w:val="left" w:pos="7560"/>
        </w:tabs>
        <w:spacing w:line="360" w:lineRule="auto"/>
        <w:jc w:val="left"/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</w:pPr>
    </w:p>
    <w:p>
      <w:pPr>
        <w:tabs>
          <w:tab w:val="left" w:pos="900"/>
          <w:tab w:val="left" w:pos="7560"/>
        </w:tabs>
        <w:spacing w:line="360" w:lineRule="auto"/>
        <w:jc w:val="left"/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注：1、其他要求：符合国标5768－2009相关标准；停车位、道路标线和导向施划，应采用合格品牌道路专用漆，常温机喷，线段均匀；减速带符合国家标准合格的优质橡胶材料；车位定位器符合国家标准、合格的优质材料；广角镜符合国家标准，立柱为热镀锌钢管加所需配件。</w:t>
      </w:r>
    </w:p>
    <w:p>
      <w:pPr>
        <w:tabs>
          <w:tab w:val="left" w:pos="900"/>
          <w:tab w:val="left" w:pos="7560"/>
        </w:tabs>
        <w:spacing w:line="360" w:lineRule="auto"/>
        <w:jc w:val="left"/>
        <w:rPr>
          <w:rFonts w:hint="eastAsia" w:ascii="宋体" w:hAnsi="宋体"/>
          <w:b/>
          <w:bCs/>
          <w:sz w:val="21"/>
          <w:szCs w:val="21"/>
          <w:highlight w:val="yellow"/>
          <w:lang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2、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报价中包含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设计费、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材料费、运输费、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人工费等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一切费用。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yellow"/>
          <w:lang w:val="en-US" w:eastAsia="zh-CN"/>
        </w:rPr>
        <w:t>采购数量均为暂定量，最终以实际施工量乘以单价进行结算。潜在投标人请实地勘察现场，若因未实地勘察而产生错</w:t>
      </w:r>
      <w:bookmarkStart w:id="0" w:name="_GoBack"/>
      <w:bookmarkEnd w:id="0"/>
      <w:r>
        <w:rPr>
          <w:rFonts w:hint="eastAsia" w:ascii="宋体" w:hAnsi="宋体"/>
          <w:b/>
          <w:bCs/>
          <w:color w:val="auto"/>
          <w:sz w:val="21"/>
          <w:szCs w:val="21"/>
          <w:highlight w:val="yellow"/>
          <w:lang w:val="en-US" w:eastAsia="zh-CN"/>
        </w:rPr>
        <w:t>报、漏报等行为均由投标人负责。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3、评审细则：</w:t>
      </w:r>
      <w:r>
        <w:rPr>
          <w:rFonts w:hint="eastAsia" w:ascii="宋体" w:hAnsi="宋体"/>
          <w:b/>
          <w:bCs/>
          <w:sz w:val="21"/>
          <w:szCs w:val="21"/>
          <w:highlight w:val="yellow"/>
          <w:lang w:val="en-US" w:eastAsia="zh-CN"/>
        </w:rPr>
        <w:t>按照有效最低价评标法。</w:t>
      </w:r>
      <w:r>
        <w:rPr>
          <w:rFonts w:hint="eastAsia" w:ascii="宋体" w:hAnsi="宋体"/>
          <w:b/>
          <w:bCs/>
          <w:sz w:val="21"/>
          <w:szCs w:val="21"/>
        </w:rPr>
        <w:t>由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评审</w:t>
      </w:r>
      <w:r>
        <w:rPr>
          <w:rFonts w:hint="eastAsia" w:ascii="宋体" w:hAnsi="宋体"/>
          <w:b/>
          <w:bCs/>
          <w:sz w:val="21"/>
          <w:szCs w:val="21"/>
        </w:rPr>
        <w:t>小组从满足询价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单</w:t>
      </w:r>
      <w:r>
        <w:rPr>
          <w:rFonts w:hint="eastAsia" w:ascii="宋体" w:hAnsi="宋体"/>
          <w:b/>
          <w:bCs/>
          <w:sz w:val="21"/>
          <w:szCs w:val="21"/>
        </w:rPr>
        <w:t>要求的供应商中以报价最低者推荐为成交供应商。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该供应商的报价即为成交的合同价。如果有两个或两个以上供应商报价相同，由采购人确定中标人。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1"/>
          <w:szCs w:val="21"/>
          <w:lang w:val="en-US" w:eastAsia="zh-CN" w:bidi="ar-SA"/>
        </w:rPr>
        <w:t>4、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严格执行国家相关规范标准。中标方对供货、施工、服务过程及交付使用后正常运行中的人身、财产安全负全部责任</w:t>
      </w:r>
      <w:r>
        <w:rPr>
          <w:rFonts w:hint="eastAsia" w:cs="Times New Roman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5、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采用货到验收合格后通过银行对公转账付款。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38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38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380"/>
        <w:textAlignment w:val="auto"/>
        <w:rPr>
          <w:rFonts w:ascii="宋体" w:hAnsi="宋体" w:cs="宋体"/>
          <w:kern w:val="0"/>
          <w:sz w:val="19"/>
          <w:szCs w:val="21"/>
        </w:rPr>
      </w:pPr>
      <w:r>
        <w:rPr>
          <w:rFonts w:hint="eastAsia"/>
          <w:sz w:val="24"/>
        </w:rPr>
        <w:t>本单位已悉知以上内容，并承诺严格按照上述各项要求进行投标。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eastAsia="宋体"/>
          <w:sz w:val="24"/>
          <w:u w:val="single"/>
          <w:lang w:eastAsia="zh-CN"/>
        </w:rPr>
      </w:pPr>
      <w:r>
        <w:rPr>
          <w:rFonts w:hint="eastAsia"/>
          <w:sz w:val="24"/>
        </w:rPr>
        <w:t>报价单位（盖章）</w:t>
      </w:r>
      <w:r>
        <w:rPr>
          <w:rFonts w:hint="eastAsia"/>
          <w:sz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sz w:val="24"/>
          <w:u w:val="single"/>
        </w:rPr>
      </w:pPr>
      <w:r>
        <w:rPr>
          <w:rFonts w:hint="eastAsia"/>
          <w:sz w:val="24"/>
        </w:rPr>
        <w:t xml:space="preserve">负责人（签字）：                     联系电话：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sz w:val="24"/>
        </w:rPr>
      </w:pPr>
    </w:p>
    <w:p>
      <w:pPr>
        <w:spacing w:line="480" w:lineRule="exact"/>
        <w:rPr>
          <w:rFonts w:hint="default" w:ascii="宋体" w:hAnsi="宋体" w:eastAsia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温馨提示：疫情防控期间，本项目采用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</w:rPr>
        <w:t>不见面开标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响应文件采用邮寄方式进行投递，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u w:val="single"/>
          <w:lang w:val="en-US" w:eastAsia="zh-CN"/>
        </w:rPr>
        <w:t>建议顺丰快递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且明确是采购项目响应文件，防止延误递交时间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感谢您的支持。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6E2D"/>
    <w:rsid w:val="000218B8"/>
    <w:rsid w:val="00075CE9"/>
    <w:rsid w:val="000873B4"/>
    <w:rsid w:val="000D17E0"/>
    <w:rsid w:val="00102878"/>
    <w:rsid w:val="00127CC6"/>
    <w:rsid w:val="001345CA"/>
    <w:rsid w:val="00136D0D"/>
    <w:rsid w:val="002D6D45"/>
    <w:rsid w:val="002F693F"/>
    <w:rsid w:val="00331030"/>
    <w:rsid w:val="00355FA7"/>
    <w:rsid w:val="003947B2"/>
    <w:rsid w:val="003C57E3"/>
    <w:rsid w:val="004115DC"/>
    <w:rsid w:val="00455FE8"/>
    <w:rsid w:val="004D22A6"/>
    <w:rsid w:val="004E35CA"/>
    <w:rsid w:val="00506E5D"/>
    <w:rsid w:val="005108A1"/>
    <w:rsid w:val="0051257A"/>
    <w:rsid w:val="0052310E"/>
    <w:rsid w:val="00526E77"/>
    <w:rsid w:val="00561DCF"/>
    <w:rsid w:val="00562BB1"/>
    <w:rsid w:val="005C6675"/>
    <w:rsid w:val="00651E79"/>
    <w:rsid w:val="00682492"/>
    <w:rsid w:val="00686E2D"/>
    <w:rsid w:val="006B2F48"/>
    <w:rsid w:val="007361C9"/>
    <w:rsid w:val="00782208"/>
    <w:rsid w:val="00802CEE"/>
    <w:rsid w:val="008730E7"/>
    <w:rsid w:val="008A2739"/>
    <w:rsid w:val="008C4FC6"/>
    <w:rsid w:val="00944938"/>
    <w:rsid w:val="00981B19"/>
    <w:rsid w:val="009A592D"/>
    <w:rsid w:val="009D263B"/>
    <w:rsid w:val="00A31C0A"/>
    <w:rsid w:val="00A35E4E"/>
    <w:rsid w:val="00B3417C"/>
    <w:rsid w:val="00B5512B"/>
    <w:rsid w:val="00B67EC1"/>
    <w:rsid w:val="00BA6947"/>
    <w:rsid w:val="00C02163"/>
    <w:rsid w:val="00C6201F"/>
    <w:rsid w:val="00C83A9C"/>
    <w:rsid w:val="00CA2B3F"/>
    <w:rsid w:val="00D97460"/>
    <w:rsid w:val="00DE4279"/>
    <w:rsid w:val="00DF1F95"/>
    <w:rsid w:val="00E169D8"/>
    <w:rsid w:val="00E1795C"/>
    <w:rsid w:val="00E36BB4"/>
    <w:rsid w:val="00E46131"/>
    <w:rsid w:val="00E5099F"/>
    <w:rsid w:val="00F11BD3"/>
    <w:rsid w:val="00F2583F"/>
    <w:rsid w:val="00F36513"/>
    <w:rsid w:val="00F44CE4"/>
    <w:rsid w:val="00F7087F"/>
    <w:rsid w:val="00FD4FA3"/>
    <w:rsid w:val="00FF3435"/>
    <w:rsid w:val="03B65718"/>
    <w:rsid w:val="07500846"/>
    <w:rsid w:val="07DD2CA9"/>
    <w:rsid w:val="0AC33B6F"/>
    <w:rsid w:val="0CE77B1C"/>
    <w:rsid w:val="0D7D1AF1"/>
    <w:rsid w:val="0F1D79D3"/>
    <w:rsid w:val="0F325F44"/>
    <w:rsid w:val="0F6B31DC"/>
    <w:rsid w:val="13993A64"/>
    <w:rsid w:val="141459F3"/>
    <w:rsid w:val="177E12EA"/>
    <w:rsid w:val="19942726"/>
    <w:rsid w:val="19CB4126"/>
    <w:rsid w:val="1BFE46A9"/>
    <w:rsid w:val="1D222768"/>
    <w:rsid w:val="203D3633"/>
    <w:rsid w:val="236B490D"/>
    <w:rsid w:val="24ED4908"/>
    <w:rsid w:val="270133E4"/>
    <w:rsid w:val="2E4A7BAD"/>
    <w:rsid w:val="2F1E536C"/>
    <w:rsid w:val="2FCC5420"/>
    <w:rsid w:val="31AE3226"/>
    <w:rsid w:val="34431B2C"/>
    <w:rsid w:val="3C550C0D"/>
    <w:rsid w:val="3D130490"/>
    <w:rsid w:val="44473BB1"/>
    <w:rsid w:val="45211B60"/>
    <w:rsid w:val="480D4BBA"/>
    <w:rsid w:val="4EA61FAA"/>
    <w:rsid w:val="513E7204"/>
    <w:rsid w:val="5A5E1EFE"/>
    <w:rsid w:val="5B47514B"/>
    <w:rsid w:val="5E6C3009"/>
    <w:rsid w:val="600C5341"/>
    <w:rsid w:val="62D75D5D"/>
    <w:rsid w:val="65B11BD5"/>
    <w:rsid w:val="69EC1B3A"/>
    <w:rsid w:val="70770485"/>
    <w:rsid w:val="70AF4986"/>
    <w:rsid w:val="72095733"/>
    <w:rsid w:val="752D28CF"/>
    <w:rsid w:val="77FD7B46"/>
    <w:rsid w:val="787B7973"/>
    <w:rsid w:val="79331079"/>
    <w:rsid w:val="79706B65"/>
    <w:rsid w:val="798D59FE"/>
    <w:rsid w:val="79BF6773"/>
    <w:rsid w:val="7DCF229F"/>
    <w:rsid w:val="7E1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jc w:val="left"/>
    </w:pPr>
    <w:rPr>
      <w:rFonts w:ascii="宋体" w:hAnsi="宋体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semiHidden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Table Paragraph"/>
    <w:basedOn w:val="1"/>
    <w:qFormat/>
    <w:uiPriority w:val="1"/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1058A-DCFA-43B9-B9A6-6E71B642FB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2017-12-01T03:17:00Z</dcterms:created>
  <dc:creator>杜奎宝</dc:creator>
  <cp:lastModifiedBy>Lenovo</cp:lastModifiedBy>
  <cp:lastPrinted>2018-09-18T06:46:00Z</cp:lastPrinted>
  <dcterms:modified xsi:type="dcterms:W3CDTF">2020-03-30T03:26:59Z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