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黄山学院学科楼汇聚交换机项目报价</w:t>
      </w:r>
      <w:r>
        <w:rPr>
          <w:rFonts w:hint="eastAsia"/>
          <w:b/>
          <w:bCs/>
          <w:color w:val="auto"/>
          <w:sz w:val="32"/>
          <w:szCs w:val="32"/>
        </w:rPr>
        <w:t>单</w:t>
      </w:r>
    </w:p>
    <w:p>
      <w:pPr>
        <w:spacing w:line="480" w:lineRule="auto"/>
        <w:ind w:firstLine="105" w:firstLineChars="50"/>
        <w:rPr>
          <w:rFonts w:hint="eastAsia" w:ascii="宋体" w:hAnsi="宋体" w:cs="Arial"/>
          <w:b/>
          <w:bCs/>
          <w:color w:val="auto"/>
          <w:szCs w:val="21"/>
          <w:lang w:eastAsia="zh-CN"/>
        </w:rPr>
      </w:pPr>
      <w:r>
        <w:rPr>
          <w:rFonts w:hint="eastAsia" w:ascii="宋体" w:hAnsi="宋体" w:cs="Arial"/>
          <w:b/>
          <w:bCs/>
          <w:color w:val="auto"/>
          <w:szCs w:val="21"/>
          <w:lang w:eastAsia="zh-CN"/>
        </w:rPr>
        <w:t>采购需求及技术要求</w:t>
      </w:r>
    </w:p>
    <w:tbl>
      <w:tblPr>
        <w:tblStyle w:val="9"/>
        <w:tblW w:w="9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4485"/>
        <w:gridCol w:w="705"/>
        <w:gridCol w:w="765"/>
        <w:gridCol w:w="870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4485" w:type="dxa"/>
            <w:vAlign w:val="center"/>
          </w:tcPr>
          <w:p>
            <w:pPr>
              <w:spacing w:line="480" w:lineRule="auto"/>
              <w:ind w:firstLine="105" w:firstLineChars="50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lang w:eastAsia="zh-CN"/>
              </w:rPr>
              <w:t>技术参数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数量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单位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单价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（元）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  <w:lang w:eastAsia="zh-CN"/>
              </w:rPr>
              <w:t>价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Arial"/>
                <w:color w:val="FF000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汇聚交换机</w:t>
            </w:r>
          </w:p>
        </w:tc>
        <w:tc>
          <w:tcPr>
            <w:tcW w:w="448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H3C LS-5560X-30F-EI以太网交换机主机(24SFP(8GE Combo)+4SFP Plus+1Slot)+150W资产管理交流电源模块2个+S5560以太网交换机风扇模块(电源侧出风)2个。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1、多业务模块化交换机，交换容量 ≥5.9Tbps；转发性能≥220Mpps；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★提供固定千兆光口≥24个，千兆电口≥8个，万兆SFP+光端口≥4个，扩展槽位≥1，支持单槽位不少12端口万兆扩展；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支持虚拟化技术（非堆叠技术），实现设备的多虚一功能，能够将多台交换机虚拟化为一台逻辑设备，可以实现一致的转发表项；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设备支持纵向虚拟化技术，通过将接入设备作为远程接口板加入主设备系统，在纵向维度上将核心层设备和接入层设备虚拟为一台逻辑设备，以达到扩展I/O端口能力和进行集中控制管理的目的；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★支持扩容FW，IPS高性能模块插卡，使交换机成为一个融合的多业务的承载平台；该功能提供官网截图；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★内置软AC功能，交换平台实现有线无线一体化集成，实现无线有线本地转发，消除无线带宽瓶颈，该功能提供官网截图；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支持RIP、OSPF v2/v3、BGP/ BGP4+ for IPV6、ISIS/ISISv6，支持策略路由；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★设备支持10KV业务端口防雷能力，使其在比较恶劣的工作环境中也能极大的降低雷击对设备的损坏率，该功能提供官网截图；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支持ARP入侵检测、ARP报文限速功能，支持IP 源地址保护，支持SSL，保障数据传输安全，支持Guest VLAN，支持IP＋端口的绑定、IP+MAC的绑定、端口＋MAC的绑定、IP+MAC+端口的绑定、IP+MAC+端口+VLAN的绑定的功能；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★支持802.1ae Macsec安全加密，实现MAC层安全加密，包括用户数据加密、数据帧完整性检查及数据源真实性校验，该功能提供官网截图；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管理方式：支持SNMPv1/v2/v3，WEB网管，支持命令行接口（CLI），Telnet，Console口进行配置，支持系统日志，分级告警，调试信息输出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配置要求：配置完整主机、冗余电源、冗余风扇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rFonts w:hint="eastAsia" w:ascii="宋体" w:hAnsi="宋体" w:cs="Arial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其他</w:t>
            </w:r>
            <w:r>
              <w:rPr>
                <w:rFonts w:hint="eastAsia"/>
                <w:color w:val="FF0000"/>
                <w:szCs w:val="21"/>
              </w:rPr>
              <w:t>要求：要求质保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年。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21"/>
                <w:lang w:eastAsia="zh-CN"/>
              </w:rPr>
              <w:t>套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9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8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 xml:space="preserve">      合计人民币（大写）：                             </w:t>
            </w:r>
            <w:r>
              <w:rPr>
                <w:rFonts w:hint="eastAsia" w:ascii="宋体" w:hAnsi="宋体" w:cs="宋体"/>
                <w:kern w:val="0"/>
                <w:sz w:val="19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>小写：￥</w:t>
            </w:r>
          </w:p>
        </w:tc>
      </w:tr>
    </w:tbl>
    <w:p>
      <w:pPr>
        <w:spacing w:after="0"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1、所提供产品必须为原装正品，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报价中包含材料费、运输费、安装调试费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  <w:t>及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交付使用所需要的附材辅材等一切费用，施工安装过程中安全问题由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  <w:t>中标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方负责。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评审细则：按照有效最低价评标法，</w:t>
      </w:r>
      <w:r>
        <w:rPr>
          <w:rFonts w:hint="eastAsia" w:ascii="宋体" w:hAnsi="宋体"/>
          <w:b w:val="0"/>
          <w:bCs w:val="0"/>
          <w:sz w:val="21"/>
          <w:szCs w:val="21"/>
        </w:rPr>
        <w:t>由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评审</w:t>
      </w:r>
      <w:r>
        <w:rPr>
          <w:rFonts w:hint="eastAsia" w:ascii="宋体" w:hAnsi="宋体"/>
          <w:b w:val="0"/>
          <w:bCs w:val="0"/>
          <w:sz w:val="21"/>
          <w:szCs w:val="21"/>
        </w:rPr>
        <w:t>小组从满足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询价文件</w:t>
      </w:r>
      <w:r>
        <w:rPr>
          <w:rFonts w:hint="eastAsia" w:ascii="宋体" w:hAnsi="宋体"/>
          <w:b w:val="0"/>
          <w:bCs w:val="0"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该供应商的报价即为成交的合同价。如果有两个或两个以上供应商报价相同，由采购人确定中标人。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kern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采用货到验收合格后通过银行对公转账付款，发票由中标方按国家有关财税规定开给采购方。</w:t>
      </w:r>
    </w:p>
    <w:p>
      <w:pPr>
        <w:widowControl/>
        <w:adjustRightInd w:val="0"/>
        <w:snapToGrid w:val="0"/>
        <w:spacing w:line="360" w:lineRule="auto"/>
        <w:ind w:right="380"/>
        <w:rPr>
          <w:rFonts w:hint="eastAsia"/>
          <w:sz w:val="24"/>
        </w:rPr>
      </w:pPr>
    </w:p>
    <w:p>
      <w:pPr>
        <w:widowControl/>
        <w:adjustRightInd w:val="0"/>
        <w:snapToGrid w:val="0"/>
        <w:spacing w:line="360" w:lineRule="auto"/>
        <w:ind w:right="380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报价单位（盖章）；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09B2C"/>
    <w:multiLevelType w:val="singleLevel"/>
    <w:tmpl w:val="A4F09B2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7500846"/>
    <w:rsid w:val="07DD2CA9"/>
    <w:rsid w:val="0AC33B6F"/>
    <w:rsid w:val="0CE77B1C"/>
    <w:rsid w:val="0D7D1AF1"/>
    <w:rsid w:val="0F325F44"/>
    <w:rsid w:val="0F6B31DC"/>
    <w:rsid w:val="177E12EA"/>
    <w:rsid w:val="19CB4126"/>
    <w:rsid w:val="1BFE46A9"/>
    <w:rsid w:val="24ED4908"/>
    <w:rsid w:val="2E4A7BAD"/>
    <w:rsid w:val="2F1E536C"/>
    <w:rsid w:val="34431B2C"/>
    <w:rsid w:val="3C550C0D"/>
    <w:rsid w:val="45211B60"/>
    <w:rsid w:val="4EA61FAA"/>
    <w:rsid w:val="55424357"/>
    <w:rsid w:val="55AC4554"/>
    <w:rsid w:val="5A5E1EFE"/>
    <w:rsid w:val="5B47514B"/>
    <w:rsid w:val="600C5341"/>
    <w:rsid w:val="70770485"/>
    <w:rsid w:val="72095733"/>
    <w:rsid w:val="77FD7B46"/>
    <w:rsid w:val="79331079"/>
    <w:rsid w:val="79706B65"/>
    <w:rsid w:val="7E145A7A"/>
    <w:rsid w:val="7EA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流星</cp:lastModifiedBy>
  <cp:lastPrinted>2018-09-18T06:46:00Z</cp:lastPrinted>
  <dcterms:modified xsi:type="dcterms:W3CDTF">2018-11-09T00:54:52Z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